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9923"/>
      </w:tblGrid>
      <w:tr w:rsidR="0055594B" w:rsidRPr="008F2473" w:rsidTr="0022799A">
        <w:tc>
          <w:tcPr>
            <w:tcW w:w="9923" w:type="dxa"/>
            <w:shd w:val="clear" w:color="auto" w:fill="BFBFBF"/>
          </w:tcPr>
          <w:p w:rsidR="0055594B" w:rsidRDefault="00193948" w:rsidP="0022799A">
            <w:pPr>
              <w:pStyle w:val="Title"/>
              <w:rPr>
                <w:rFonts w:ascii="Calibri" w:hAnsi="Calibri" w:cs="Calibri"/>
                <w:sz w:val="28"/>
                <w:szCs w:val="28"/>
                <w:u w:val="single"/>
              </w:rPr>
            </w:pPr>
            <w:r>
              <w:rPr>
                <w:rFonts w:ascii="Calibri" w:hAnsi="Calibri" w:cs="Calibri"/>
                <w:sz w:val="28"/>
                <w:szCs w:val="28"/>
                <w:u w:val="single"/>
              </w:rPr>
              <w:t>BEAMA</w:t>
            </w:r>
            <w:r w:rsidR="0055594B">
              <w:rPr>
                <w:rFonts w:ascii="Calibri" w:hAnsi="Calibri" w:cs="Calibri"/>
                <w:sz w:val="28"/>
                <w:szCs w:val="28"/>
                <w:u w:val="single"/>
              </w:rPr>
              <w:t xml:space="preserve"> </w:t>
            </w:r>
            <w:r w:rsidR="00F4212F">
              <w:rPr>
                <w:rFonts w:ascii="Calibri" w:hAnsi="Calibri" w:cs="Calibri"/>
                <w:sz w:val="28"/>
                <w:szCs w:val="28"/>
                <w:u w:val="single"/>
              </w:rPr>
              <w:t>Consumer Energy Display Industry</w:t>
            </w:r>
            <w:r w:rsidR="0055594B">
              <w:rPr>
                <w:rFonts w:ascii="Calibri" w:hAnsi="Calibri" w:cs="Calibri"/>
                <w:sz w:val="28"/>
                <w:szCs w:val="28"/>
                <w:u w:val="single"/>
              </w:rPr>
              <w:t xml:space="preserve"> Group</w:t>
            </w:r>
            <w:r w:rsidR="002C3B56">
              <w:rPr>
                <w:rFonts w:ascii="Calibri" w:hAnsi="Calibri" w:cs="Calibri"/>
                <w:sz w:val="28"/>
                <w:szCs w:val="28"/>
                <w:u w:val="single"/>
              </w:rPr>
              <w:t xml:space="preserve"> </w:t>
            </w:r>
          </w:p>
          <w:p w:rsidR="009F4563" w:rsidRDefault="00193948" w:rsidP="009F4563">
            <w:pPr>
              <w:pStyle w:val="Title"/>
              <w:rPr>
                <w:rFonts w:ascii="Calibri" w:hAnsi="Calibri" w:cs="Calibri"/>
                <w:sz w:val="28"/>
                <w:szCs w:val="28"/>
                <w:u w:val="single"/>
              </w:rPr>
            </w:pPr>
            <w:r>
              <w:rPr>
                <w:rFonts w:ascii="Calibri" w:hAnsi="Calibri" w:cs="Calibri"/>
                <w:sz w:val="28"/>
                <w:szCs w:val="28"/>
                <w:u w:val="single"/>
              </w:rPr>
              <w:t xml:space="preserve">Response to the </w:t>
            </w:r>
            <w:r w:rsidR="00F4212F">
              <w:rPr>
                <w:rFonts w:ascii="Calibri" w:hAnsi="Calibri" w:cs="Calibri"/>
                <w:sz w:val="28"/>
                <w:szCs w:val="28"/>
                <w:u w:val="single"/>
              </w:rPr>
              <w:t xml:space="preserve">Government’s </w:t>
            </w:r>
            <w:r>
              <w:rPr>
                <w:rFonts w:ascii="Calibri" w:hAnsi="Calibri" w:cs="Calibri"/>
                <w:sz w:val="28"/>
                <w:szCs w:val="28"/>
                <w:u w:val="single"/>
              </w:rPr>
              <w:t>Consultation on</w:t>
            </w:r>
            <w:r w:rsidR="000D01B0">
              <w:rPr>
                <w:rFonts w:ascii="Calibri" w:hAnsi="Calibri" w:cs="Calibri"/>
                <w:sz w:val="28"/>
                <w:szCs w:val="28"/>
                <w:u w:val="single"/>
              </w:rPr>
              <w:t xml:space="preserve"> </w:t>
            </w:r>
            <w:r w:rsidR="00F4212F">
              <w:rPr>
                <w:rFonts w:ascii="Calibri" w:hAnsi="Calibri" w:cs="Calibri"/>
                <w:sz w:val="28"/>
                <w:szCs w:val="28"/>
                <w:u w:val="single"/>
              </w:rPr>
              <w:t>amending IHD licence conditions</w:t>
            </w:r>
          </w:p>
          <w:p w:rsidR="00296260" w:rsidRPr="00193948" w:rsidRDefault="00F4212F" w:rsidP="00F4212F">
            <w:pPr>
              <w:pStyle w:val="Title"/>
              <w:rPr>
                <w:rFonts w:ascii="Calibri" w:hAnsi="Calibri" w:cs="Calibri"/>
                <w:sz w:val="28"/>
                <w:szCs w:val="28"/>
                <w:u w:val="single"/>
              </w:rPr>
            </w:pPr>
            <w:r>
              <w:rPr>
                <w:rFonts w:ascii="Calibri" w:hAnsi="Calibri" w:cs="Calibri"/>
                <w:sz w:val="28"/>
                <w:szCs w:val="28"/>
                <w:u w:val="single"/>
              </w:rPr>
              <w:t>22 September</w:t>
            </w:r>
            <w:r w:rsidR="009F4563">
              <w:rPr>
                <w:rFonts w:ascii="Calibri" w:hAnsi="Calibri" w:cs="Calibri"/>
                <w:sz w:val="28"/>
                <w:szCs w:val="28"/>
                <w:u w:val="single"/>
              </w:rPr>
              <w:t xml:space="preserve"> 2015</w:t>
            </w:r>
          </w:p>
        </w:tc>
      </w:tr>
      <w:tr w:rsidR="00E242AE" w:rsidRPr="008F2473" w:rsidTr="00592ECD">
        <w:trPr>
          <w:trHeight w:val="80"/>
        </w:trPr>
        <w:tc>
          <w:tcPr>
            <w:tcW w:w="9923" w:type="dxa"/>
            <w:shd w:val="clear" w:color="auto" w:fill="BFBFBF"/>
          </w:tcPr>
          <w:p w:rsidR="00E242AE" w:rsidRDefault="00E242AE" w:rsidP="00E242AE">
            <w:pPr>
              <w:pStyle w:val="Title"/>
              <w:jc w:val="left"/>
              <w:rPr>
                <w:rFonts w:ascii="Calibri" w:hAnsi="Calibri" w:cs="Calibri"/>
                <w:sz w:val="28"/>
                <w:szCs w:val="28"/>
                <w:u w:val="single"/>
              </w:rPr>
            </w:pPr>
          </w:p>
        </w:tc>
      </w:tr>
    </w:tbl>
    <w:p w:rsidR="00BF7EF1" w:rsidRPr="008F2473" w:rsidRDefault="00BF7EF1" w:rsidP="00A010B1">
      <w:pPr>
        <w:pStyle w:val="Title"/>
        <w:jc w:val="left"/>
        <w:rPr>
          <w:rFonts w:ascii="Calibri" w:hAnsi="Calibri" w:cs="Calibri"/>
          <w:sz w:val="16"/>
          <w:szCs w:val="16"/>
        </w:rPr>
      </w:pPr>
    </w:p>
    <w:p w:rsidR="0055594B" w:rsidRPr="008F2473" w:rsidRDefault="0055594B" w:rsidP="0055594B">
      <w:pPr>
        <w:rPr>
          <w:rFonts w:ascii="Calibri" w:hAnsi="Calibri" w:cs="Calibri"/>
          <w:sz w:val="16"/>
          <w:szCs w:val="16"/>
          <w:lang w:val="fr-FR"/>
        </w:rPr>
      </w:pPr>
    </w:p>
    <w:p w:rsidR="00E57CE7" w:rsidRDefault="00193948" w:rsidP="00496659">
      <w:pPr>
        <w:rPr>
          <w:rFonts w:ascii="Arial" w:hAnsi="Arial" w:cs="Arial"/>
          <w:sz w:val="24"/>
          <w:szCs w:val="24"/>
        </w:rPr>
      </w:pPr>
      <w:r w:rsidRPr="00193948">
        <w:rPr>
          <w:rFonts w:ascii="Arial" w:hAnsi="Arial" w:cs="Arial"/>
          <w:b/>
          <w:sz w:val="24"/>
          <w:szCs w:val="24"/>
          <w:u w:val="single"/>
        </w:rPr>
        <w:t>Introduction</w:t>
      </w:r>
      <w:r>
        <w:rPr>
          <w:rFonts w:ascii="Arial" w:hAnsi="Arial" w:cs="Arial"/>
          <w:sz w:val="24"/>
          <w:szCs w:val="24"/>
        </w:rPr>
        <w:t>:</w:t>
      </w:r>
    </w:p>
    <w:p w:rsidR="00193948" w:rsidRDefault="00193948" w:rsidP="00496659">
      <w:pPr>
        <w:rPr>
          <w:rFonts w:ascii="Arial" w:hAnsi="Arial" w:cs="Arial"/>
          <w:sz w:val="24"/>
          <w:szCs w:val="24"/>
        </w:rPr>
      </w:pPr>
    </w:p>
    <w:p w:rsidR="00E070DD" w:rsidRPr="00586C94" w:rsidRDefault="00E070DD" w:rsidP="00E070DD">
      <w:pPr>
        <w:rPr>
          <w:rFonts w:ascii="Arial" w:hAnsi="Arial" w:cs="Arial"/>
          <w:sz w:val="24"/>
          <w:szCs w:val="24"/>
        </w:rPr>
      </w:pPr>
      <w:r w:rsidRPr="00586C94">
        <w:rPr>
          <w:rFonts w:ascii="Arial" w:hAnsi="Arial" w:cs="Arial"/>
          <w:sz w:val="24"/>
          <w:szCs w:val="24"/>
        </w:rPr>
        <w:t xml:space="preserve">BEAMA is the </w:t>
      </w:r>
      <w:r w:rsidR="00F4212F">
        <w:rPr>
          <w:rFonts w:ascii="Arial" w:hAnsi="Arial" w:cs="Arial"/>
          <w:sz w:val="24"/>
          <w:szCs w:val="24"/>
        </w:rPr>
        <w:t xml:space="preserve">leading British </w:t>
      </w:r>
      <w:r w:rsidRPr="00586C94">
        <w:rPr>
          <w:rFonts w:ascii="Arial" w:hAnsi="Arial" w:cs="Arial"/>
          <w:sz w:val="24"/>
          <w:szCs w:val="24"/>
        </w:rPr>
        <w:t xml:space="preserve">trade association for manufacturers of </w:t>
      </w:r>
      <w:proofErr w:type="spellStart"/>
      <w:r w:rsidRPr="00586C94">
        <w:rPr>
          <w:rFonts w:ascii="Arial" w:hAnsi="Arial" w:cs="Arial"/>
          <w:sz w:val="24"/>
          <w:szCs w:val="24"/>
        </w:rPr>
        <w:t>electrotechnical</w:t>
      </w:r>
      <w:proofErr w:type="spellEnd"/>
      <w:r w:rsidRPr="00586C94">
        <w:rPr>
          <w:rFonts w:ascii="Arial" w:hAnsi="Arial" w:cs="Arial"/>
          <w:sz w:val="24"/>
          <w:szCs w:val="24"/>
        </w:rPr>
        <w:t xml:space="preserve"> equipment. </w:t>
      </w:r>
      <w:r w:rsidR="003A27AE">
        <w:rPr>
          <w:rFonts w:ascii="Arial" w:hAnsi="Arial" w:cs="Arial"/>
          <w:sz w:val="24"/>
          <w:szCs w:val="24"/>
        </w:rPr>
        <w:t xml:space="preserve">It represents manufacturers throughout the smart metering supply chain. </w:t>
      </w:r>
      <w:r w:rsidR="00F4212F">
        <w:rPr>
          <w:rFonts w:ascii="Arial" w:hAnsi="Arial" w:cs="Arial"/>
          <w:sz w:val="24"/>
          <w:szCs w:val="24"/>
        </w:rPr>
        <w:t>The Consumer Energy Display Industry Group (CEDIG) is part of BEAMA’s Mandated Smart Metering Products Group and consists of five UK-based manufacturers of In-Home Displays and other energy display products</w:t>
      </w:r>
      <w:r w:rsidR="00AD3EE3">
        <w:rPr>
          <w:rFonts w:ascii="Arial" w:hAnsi="Arial" w:cs="Arial"/>
          <w:sz w:val="24"/>
          <w:szCs w:val="24"/>
        </w:rPr>
        <w:t xml:space="preserve"> (see Annex 1)</w:t>
      </w:r>
      <w:r w:rsidR="00F4212F">
        <w:rPr>
          <w:rFonts w:ascii="Arial" w:hAnsi="Arial" w:cs="Arial"/>
          <w:sz w:val="24"/>
          <w:szCs w:val="24"/>
        </w:rPr>
        <w:t>.</w:t>
      </w:r>
    </w:p>
    <w:p w:rsidR="00E070DD" w:rsidRDefault="00E070DD" w:rsidP="00E070DD">
      <w:pPr>
        <w:rPr>
          <w:rFonts w:ascii="Arial" w:hAnsi="Arial" w:cs="Arial"/>
          <w:sz w:val="24"/>
          <w:szCs w:val="24"/>
        </w:rPr>
      </w:pPr>
    </w:p>
    <w:p w:rsidR="00F50E9B" w:rsidRDefault="00F4212F" w:rsidP="00F50E9B">
      <w:pPr>
        <w:rPr>
          <w:rFonts w:ascii="Arial" w:hAnsi="Arial" w:cs="Arial"/>
          <w:sz w:val="24"/>
          <w:szCs w:val="24"/>
          <w:lang w:val="en-US"/>
        </w:rPr>
      </w:pPr>
      <w:r>
        <w:rPr>
          <w:rFonts w:ascii="Arial" w:hAnsi="Arial" w:cs="Arial"/>
          <w:sz w:val="24"/>
          <w:szCs w:val="24"/>
        </w:rPr>
        <w:t xml:space="preserve">BEAMA welcomes the Government’s consultation and </w:t>
      </w:r>
      <w:r w:rsidR="00E070DD">
        <w:rPr>
          <w:rFonts w:ascii="Arial" w:hAnsi="Arial" w:cs="Arial"/>
          <w:sz w:val="24"/>
          <w:szCs w:val="24"/>
        </w:rPr>
        <w:t>appreciate</w:t>
      </w:r>
      <w:r>
        <w:rPr>
          <w:rFonts w:ascii="Arial" w:hAnsi="Arial" w:cs="Arial"/>
          <w:sz w:val="24"/>
          <w:szCs w:val="24"/>
        </w:rPr>
        <w:t>s</w:t>
      </w:r>
      <w:r w:rsidR="00E070DD">
        <w:rPr>
          <w:rFonts w:ascii="Arial" w:hAnsi="Arial" w:cs="Arial"/>
          <w:sz w:val="24"/>
          <w:szCs w:val="24"/>
        </w:rPr>
        <w:t xml:space="preserve"> the opportunity to respond to D</w:t>
      </w:r>
      <w:r w:rsidR="009F4563">
        <w:rPr>
          <w:rFonts w:ascii="Arial" w:hAnsi="Arial" w:cs="Arial"/>
          <w:sz w:val="24"/>
          <w:szCs w:val="24"/>
        </w:rPr>
        <w:t>E</w:t>
      </w:r>
      <w:r w:rsidR="00E070DD">
        <w:rPr>
          <w:rFonts w:ascii="Arial" w:hAnsi="Arial" w:cs="Arial"/>
          <w:sz w:val="24"/>
          <w:szCs w:val="24"/>
        </w:rPr>
        <w:t xml:space="preserve">CC’s </w:t>
      </w:r>
      <w:r>
        <w:rPr>
          <w:rFonts w:ascii="Arial" w:hAnsi="Arial" w:cs="Arial"/>
          <w:sz w:val="24"/>
          <w:szCs w:val="24"/>
        </w:rPr>
        <w:t>stated intentions</w:t>
      </w:r>
      <w:r w:rsidR="003A27AE">
        <w:rPr>
          <w:rFonts w:ascii="Arial" w:hAnsi="Arial" w:cs="Arial"/>
          <w:sz w:val="24"/>
          <w:szCs w:val="24"/>
        </w:rPr>
        <w:t xml:space="preserve"> </w:t>
      </w:r>
      <w:r w:rsidR="003A27AE" w:rsidRPr="003A27AE">
        <w:rPr>
          <w:rFonts w:ascii="Arial" w:hAnsi="Arial" w:cs="Arial"/>
          <w:sz w:val="24"/>
          <w:szCs w:val="24"/>
        </w:rPr>
        <w:t>and approves of the proposed tightening of Supplier Licence Conditions to close loopholes in the requirement to offer consumers a physical IHD</w:t>
      </w:r>
      <w:r w:rsidR="00047165">
        <w:rPr>
          <w:rFonts w:ascii="Arial" w:hAnsi="Arial" w:cs="Arial"/>
          <w:sz w:val="24"/>
          <w:szCs w:val="24"/>
        </w:rPr>
        <w:t>.</w:t>
      </w:r>
      <w:r w:rsidR="00F50E9B">
        <w:rPr>
          <w:rFonts w:ascii="Arial" w:hAnsi="Arial" w:cs="Arial"/>
          <w:sz w:val="24"/>
          <w:szCs w:val="24"/>
        </w:rPr>
        <w:t xml:space="preserve"> </w:t>
      </w:r>
      <w:r w:rsidR="00F50E9B">
        <w:rPr>
          <w:rFonts w:ascii="Arial" w:hAnsi="Arial" w:cs="Arial"/>
          <w:sz w:val="24"/>
          <w:szCs w:val="24"/>
          <w:lang w:val="en-US"/>
        </w:rPr>
        <w:t xml:space="preserve">Any queries should be directed in the first instance to: </w:t>
      </w:r>
    </w:p>
    <w:p w:rsidR="00F50E9B" w:rsidRDefault="00F50E9B" w:rsidP="00F50E9B">
      <w:pPr>
        <w:rPr>
          <w:rFonts w:ascii="Arial" w:hAnsi="Arial" w:cs="Arial"/>
          <w:sz w:val="24"/>
          <w:szCs w:val="24"/>
          <w:lang w:val="en-US"/>
        </w:rPr>
      </w:pPr>
    </w:p>
    <w:p w:rsidR="00F50E9B" w:rsidRDefault="00F50E9B" w:rsidP="00F50E9B">
      <w:pPr>
        <w:rPr>
          <w:rFonts w:ascii="Arial" w:hAnsi="Arial" w:cs="Arial"/>
          <w:sz w:val="24"/>
          <w:szCs w:val="24"/>
          <w:lang w:val="en-US"/>
        </w:rPr>
      </w:pPr>
      <w:r>
        <w:rPr>
          <w:rFonts w:ascii="Arial" w:hAnsi="Arial" w:cs="Arial"/>
          <w:sz w:val="24"/>
          <w:szCs w:val="24"/>
          <w:lang w:val="en-US"/>
        </w:rPr>
        <w:t>Jeremy Yapp (</w:t>
      </w:r>
      <w:hyperlink r:id="rId10" w:history="1">
        <w:r w:rsidRPr="00DA7C92">
          <w:rPr>
            <w:rStyle w:val="Hyperlink"/>
            <w:rFonts w:ascii="Arial" w:hAnsi="Arial" w:cs="Arial"/>
            <w:sz w:val="24"/>
            <w:szCs w:val="24"/>
            <w:lang w:val="en-US"/>
          </w:rPr>
          <w:t>Jeremy.Yapp@beama.org.uk</w:t>
        </w:r>
      </w:hyperlink>
      <w:r>
        <w:rPr>
          <w:rFonts w:ascii="Arial" w:hAnsi="Arial" w:cs="Arial"/>
          <w:sz w:val="24"/>
          <w:szCs w:val="24"/>
          <w:lang w:val="en-US"/>
        </w:rPr>
        <w:t xml:space="preserve">). </w:t>
      </w:r>
    </w:p>
    <w:p w:rsidR="003A27AE" w:rsidRDefault="003A27AE" w:rsidP="00047165">
      <w:pPr>
        <w:rPr>
          <w:rFonts w:ascii="Arial" w:hAnsi="Arial" w:cs="Arial"/>
          <w:sz w:val="24"/>
          <w:szCs w:val="24"/>
        </w:rPr>
      </w:pPr>
    </w:p>
    <w:p w:rsidR="003A27AE" w:rsidRDefault="003A27AE" w:rsidP="00047165">
      <w:pPr>
        <w:rPr>
          <w:rFonts w:ascii="Arial" w:hAnsi="Arial" w:cs="Arial"/>
          <w:sz w:val="24"/>
          <w:szCs w:val="24"/>
        </w:rPr>
      </w:pPr>
    </w:p>
    <w:p w:rsidR="003A27AE" w:rsidRPr="003A27AE" w:rsidRDefault="003A27AE" w:rsidP="003A27AE">
      <w:pPr>
        <w:rPr>
          <w:rFonts w:ascii="Arial" w:hAnsi="Arial" w:cs="Arial"/>
          <w:b/>
          <w:sz w:val="24"/>
          <w:szCs w:val="24"/>
          <w:u w:val="single"/>
        </w:rPr>
      </w:pPr>
      <w:r w:rsidRPr="003A27AE">
        <w:rPr>
          <w:rFonts w:ascii="Arial" w:hAnsi="Arial" w:cs="Arial"/>
          <w:b/>
          <w:sz w:val="24"/>
          <w:szCs w:val="24"/>
          <w:u w:val="single"/>
        </w:rPr>
        <w:t>Executive Summary</w:t>
      </w:r>
    </w:p>
    <w:p w:rsidR="003A27AE" w:rsidRDefault="003A27AE" w:rsidP="003A27AE">
      <w:pPr>
        <w:rPr>
          <w:rFonts w:ascii="Arial" w:hAnsi="Arial" w:cs="Arial"/>
          <w:sz w:val="24"/>
          <w:szCs w:val="24"/>
        </w:rPr>
      </w:pPr>
    </w:p>
    <w:p w:rsidR="003A27AE" w:rsidRDefault="003A27AE" w:rsidP="003A27AE">
      <w:pPr>
        <w:rPr>
          <w:rFonts w:ascii="Arial" w:hAnsi="Arial" w:cs="Arial"/>
          <w:sz w:val="24"/>
          <w:szCs w:val="24"/>
        </w:rPr>
      </w:pPr>
      <w:r>
        <w:rPr>
          <w:rFonts w:ascii="Arial" w:hAnsi="Arial" w:cs="Arial"/>
          <w:sz w:val="24"/>
          <w:szCs w:val="24"/>
        </w:rPr>
        <w:t xml:space="preserve">In particular, </w:t>
      </w:r>
      <w:r w:rsidRPr="003A27AE">
        <w:rPr>
          <w:rFonts w:ascii="Arial" w:hAnsi="Arial" w:cs="Arial"/>
          <w:sz w:val="24"/>
          <w:szCs w:val="24"/>
        </w:rPr>
        <w:t xml:space="preserve">BEAMA </w:t>
      </w:r>
      <w:r>
        <w:rPr>
          <w:rFonts w:ascii="Arial" w:hAnsi="Arial" w:cs="Arial"/>
          <w:sz w:val="24"/>
          <w:szCs w:val="24"/>
        </w:rPr>
        <w:t xml:space="preserve">welcomes </w:t>
      </w:r>
      <w:r w:rsidRPr="003A27AE">
        <w:rPr>
          <w:rFonts w:ascii="Arial" w:hAnsi="Arial" w:cs="Arial"/>
          <w:sz w:val="24"/>
          <w:szCs w:val="24"/>
        </w:rPr>
        <w:t>the Government’s reassertion that the IHD is a critical part of its commitment to put consumers in control of their energy use and that for many consumers the IHD is the beginning of the journey towards increased energy efficiency.</w:t>
      </w:r>
      <w:r>
        <w:rPr>
          <w:rFonts w:ascii="Arial" w:hAnsi="Arial" w:cs="Arial"/>
          <w:sz w:val="24"/>
          <w:szCs w:val="24"/>
        </w:rPr>
        <w:t xml:space="preserve"> BEAMA also welcomes </w:t>
      </w:r>
      <w:r w:rsidRPr="003A27AE">
        <w:rPr>
          <w:rFonts w:ascii="Arial" w:hAnsi="Arial" w:cs="Arial"/>
          <w:sz w:val="24"/>
          <w:szCs w:val="24"/>
        </w:rPr>
        <w:t xml:space="preserve">the Government’s statement that the rationale for the IHD mandate is supported by strong evidence and that other forms of feedback should not undermine the offer of the IHD. This is also supported by BEAMA’s research, which shows that the best savings from alternative forms of feedback occur when used in conjunction </w:t>
      </w:r>
      <w:r w:rsidR="00F2260D">
        <w:rPr>
          <w:rFonts w:ascii="Arial" w:hAnsi="Arial" w:cs="Arial"/>
          <w:sz w:val="24"/>
          <w:szCs w:val="24"/>
        </w:rPr>
        <w:t>with the IHD, not a replacement</w:t>
      </w:r>
      <w:r w:rsidRPr="003A27AE">
        <w:rPr>
          <w:rFonts w:ascii="Arial" w:hAnsi="Arial" w:cs="Arial"/>
          <w:sz w:val="24"/>
          <w:szCs w:val="24"/>
        </w:rPr>
        <w:t xml:space="preserve"> for it.</w:t>
      </w:r>
    </w:p>
    <w:p w:rsidR="003A27AE" w:rsidRDefault="003A27AE" w:rsidP="003A27AE">
      <w:pPr>
        <w:rPr>
          <w:rFonts w:ascii="Arial" w:hAnsi="Arial" w:cs="Arial"/>
          <w:sz w:val="24"/>
          <w:szCs w:val="24"/>
        </w:rPr>
      </w:pPr>
    </w:p>
    <w:p w:rsidR="003A27AE" w:rsidRPr="003A27AE" w:rsidRDefault="003A27AE" w:rsidP="003A27AE">
      <w:pPr>
        <w:rPr>
          <w:rFonts w:ascii="Arial" w:hAnsi="Arial" w:cs="Arial"/>
          <w:sz w:val="24"/>
          <w:szCs w:val="24"/>
        </w:rPr>
      </w:pPr>
      <w:r>
        <w:rPr>
          <w:rFonts w:ascii="Arial" w:hAnsi="Arial" w:cs="Arial"/>
          <w:sz w:val="24"/>
          <w:szCs w:val="24"/>
        </w:rPr>
        <w:t xml:space="preserve">BEAMA supports </w:t>
      </w:r>
      <w:r w:rsidRPr="003A27AE">
        <w:rPr>
          <w:rFonts w:ascii="Arial" w:hAnsi="Arial" w:cs="Arial"/>
          <w:sz w:val="24"/>
          <w:szCs w:val="24"/>
        </w:rPr>
        <w:t xml:space="preserve">the Government’s commitment to promoting additional research and innovation in this area, and </w:t>
      </w:r>
      <w:r>
        <w:rPr>
          <w:rFonts w:ascii="Arial" w:hAnsi="Arial" w:cs="Arial"/>
          <w:sz w:val="24"/>
          <w:szCs w:val="24"/>
        </w:rPr>
        <w:t xml:space="preserve">we </w:t>
      </w:r>
      <w:r w:rsidRPr="003A27AE">
        <w:rPr>
          <w:rFonts w:ascii="Arial" w:hAnsi="Arial" w:cs="Arial"/>
          <w:sz w:val="24"/>
          <w:szCs w:val="24"/>
        </w:rPr>
        <w:t xml:space="preserve">look forward to being part of the many exciting advances in domestic and commercial energy management products and services. </w:t>
      </w:r>
      <w:r>
        <w:rPr>
          <w:rFonts w:ascii="Arial" w:hAnsi="Arial" w:cs="Arial"/>
          <w:sz w:val="24"/>
          <w:szCs w:val="24"/>
        </w:rPr>
        <w:t xml:space="preserve">We </w:t>
      </w:r>
      <w:r w:rsidR="00F2260D">
        <w:rPr>
          <w:rFonts w:ascii="Arial" w:hAnsi="Arial" w:cs="Arial"/>
          <w:sz w:val="24"/>
          <w:szCs w:val="24"/>
        </w:rPr>
        <w:t xml:space="preserve">strongly </w:t>
      </w:r>
      <w:r>
        <w:rPr>
          <w:rFonts w:ascii="Arial" w:hAnsi="Arial" w:cs="Arial"/>
          <w:sz w:val="24"/>
          <w:szCs w:val="24"/>
        </w:rPr>
        <w:t xml:space="preserve">support </w:t>
      </w:r>
      <w:r w:rsidRPr="003A27AE">
        <w:rPr>
          <w:rFonts w:ascii="Arial" w:hAnsi="Arial" w:cs="Arial"/>
          <w:sz w:val="24"/>
          <w:szCs w:val="24"/>
        </w:rPr>
        <w:t>the Government’s intention to close loopholes in the licence conditions supporting the mandate.</w:t>
      </w:r>
    </w:p>
    <w:p w:rsidR="003A27AE" w:rsidRPr="003A27AE" w:rsidRDefault="003A27AE" w:rsidP="003A27AE">
      <w:pPr>
        <w:rPr>
          <w:rFonts w:ascii="Arial" w:hAnsi="Arial" w:cs="Arial"/>
          <w:sz w:val="24"/>
          <w:szCs w:val="24"/>
        </w:rPr>
      </w:pPr>
    </w:p>
    <w:p w:rsidR="003A27AE" w:rsidRPr="003A27AE" w:rsidRDefault="003A27AE" w:rsidP="003A27AE">
      <w:pPr>
        <w:rPr>
          <w:rFonts w:ascii="Arial" w:hAnsi="Arial" w:cs="Arial"/>
          <w:sz w:val="24"/>
          <w:szCs w:val="24"/>
        </w:rPr>
      </w:pPr>
      <w:r w:rsidRPr="003A27AE">
        <w:rPr>
          <w:rFonts w:ascii="Arial" w:hAnsi="Arial" w:cs="Arial"/>
          <w:sz w:val="24"/>
          <w:szCs w:val="24"/>
        </w:rPr>
        <w:t xml:space="preserve">Supporting the IHD mandate is not a </w:t>
      </w:r>
      <w:r>
        <w:rPr>
          <w:rFonts w:ascii="Arial" w:hAnsi="Arial" w:cs="Arial"/>
          <w:sz w:val="24"/>
          <w:szCs w:val="24"/>
        </w:rPr>
        <w:t xml:space="preserve">technologically backward </w:t>
      </w:r>
      <w:r w:rsidRPr="003A27AE">
        <w:rPr>
          <w:rFonts w:ascii="Arial" w:hAnsi="Arial" w:cs="Arial"/>
          <w:sz w:val="24"/>
          <w:szCs w:val="24"/>
        </w:rPr>
        <w:t xml:space="preserve">or conservative position: it is supported by strong evidence, and it acknowledges that for accessibility, inclusiveness, effectiveness and economy the IHD has no peer. The IHD itself has been subject to many technical advances (which continue) and is far from being an “old-fashioned” device merely because it is a physical piece of equipment. </w:t>
      </w:r>
    </w:p>
    <w:p w:rsidR="003A27AE" w:rsidRPr="003A27AE" w:rsidRDefault="003A27AE" w:rsidP="003A27AE">
      <w:pPr>
        <w:rPr>
          <w:rFonts w:ascii="Arial" w:hAnsi="Arial" w:cs="Arial"/>
          <w:sz w:val="24"/>
          <w:szCs w:val="24"/>
        </w:rPr>
      </w:pPr>
    </w:p>
    <w:p w:rsidR="003A27AE" w:rsidRPr="003A27AE" w:rsidRDefault="003A27AE" w:rsidP="003A27AE">
      <w:pPr>
        <w:rPr>
          <w:rFonts w:ascii="Arial" w:hAnsi="Arial" w:cs="Arial"/>
          <w:sz w:val="24"/>
          <w:szCs w:val="24"/>
        </w:rPr>
      </w:pPr>
      <w:r>
        <w:rPr>
          <w:rFonts w:ascii="Arial" w:hAnsi="Arial" w:cs="Arial"/>
          <w:sz w:val="24"/>
          <w:szCs w:val="24"/>
        </w:rPr>
        <w:t xml:space="preserve">It is our view that </w:t>
      </w:r>
      <w:r w:rsidRPr="003A27AE">
        <w:rPr>
          <w:rFonts w:ascii="Arial" w:hAnsi="Arial" w:cs="Arial"/>
          <w:sz w:val="24"/>
          <w:szCs w:val="24"/>
        </w:rPr>
        <w:t xml:space="preserve">IHDs are </w:t>
      </w:r>
      <w:r>
        <w:rPr>
          <w:rFonts w:ascii="Arial" w:hAnsi="Arial" w:cs="Arial"/>
          <w:sz w:val="24"/>
          <w:szCs w:val="24"/>
        </w:rPr>
        <w:t xml:space="preserve">and will continue to be </w:t>
      </w:r>
      <w:r w:rsidRPr="003A27AE">
        <w:rPr>
          <w:rFonts w:ascii="Arial" w:hAnsi="Arial" w:cs="Arial"/>
          <w:sz w:val="24"/>
          <w:szCs w:val="24"/>
        </w:rPr>
        <w:t xml:space="preserve">the cheapest way of providing real time data to consumers. </w:t>
      </w:r>
      <w:r>
        <w:rPr>
          <w:rFonts w:ascii="Arial" w:hAnsi="Arial" w:cs="Arial"/>
          <w:sz w:val="24"/>
          <w:szCs w:val="24"/>
        </w:rPr>
        <w:t>We contend that there is no proven way to p</w:t>
      </w:r>
      <w:r w:rsidRPr="003A27AE">
        <w:rPr>
          <w:rFonts w:ascii="Arial" w:hAnsi="Arial" w:cs="Arial"/>
          <w:sz w:val="24"/>
          <w:szCs w:val="24"/>
        </w:rPr>
        <w:t xml:space="preserve">rovide real time energy data to a household in an omnipresent form for less than the cost of a mandate-compliant physical IHD (at Impact Assessment price or cheaper). </w:t>
      </w:r>
      <w:r>
        <w:rPr>
          <w:rFonts w:ascii="Arial" w:hAnsi="Arial" w:cs="Arial"/>
          <w:sz w:val="24"/>
          <w:szCs w:val="24"/>
        </w:rPr>
        <w:t>As such, t</w:t>
      </w:r>
      <w:r w:rsidRPr="003A27AE">
        <w:rPr>
          <w:rFonts w:ascii="Arial" w:hAnsi="Arial" w:cs="Arial"/>
          <w:sz w:val="24"/>
          <w:szCs w:val="24"/>
        </w:rPr>
        <w:t>he basic economics support the IHD mandate.</w:t>
      </w:r>
    </w:p>
    <w:p w:rsidR="003A27AE" w:rsidRPr="003A27AE" w:rsidRDefault="003A27AE" w:rsidP="003A27AE">
      <w:pPr>
        <w:rPr>
          <w:rFonts w:ascii="Arial" w:hAnsi="Arial" w:cs="Arial"/>
          <w:sz w:val="24"/>
          <w:szCs w:val="24"/>
        </w:rPr>
      </w:pPr>
    </w:p>
    <w:p w:rsidR="003A27AE" w:rsidRPr="003A27AE" w:rsidRDefault="003A27AE" w:rsidP="003A27AE">
      <w:pPr>
        <w:rPr>
          <w:rFonts w:ascii="Arial" w:hAnsi="Arial" w:cs="Arial"/>
          <w:sz w:val="24"/>
          <w:szCs w:val="24"/>
        </w:rPr>
      </w:pPr>
      <w:r w:rsidRPr="003A27AE">
        <w:rPr>
          <w:rFonts w:ascii="Arial" w:hAnsi="Arial" w:cs="Arial"/>
          <w:sz w:val="24"/>
          <w:szCs w:val="24"/>
        </w:rPr>
        <w:t xml:space="preserve">Once the cost of the physical display is met, providing the household with the means to export data out of the property can be done very cheaply. </w:t>
      </w:r>
      <w:r w:rsidR="00D54C9D">
        <w:rPr>
          <w:rFonts w:ascii="Arial" w:hAnsi="Arial" w:cs="Arial"/>
          <w:sz w:val="24"/>
          <w:szCs w:val="24"/>
        </w:rPr>
        <w:t xml:space="preserve">It is BEAMA’s view that </w:t>
      </w:r>
      <w:r w:rsidRPr="003A27AE">
        <w:rPr>
          <w:rFonts w:ascii="Arial" w:hAnsi="Arial" w:cs="Arial"/>
          <w:sz w:val="24"/>
          <w:szCs w:val="24"/>
        </w:rPr>
        <w:t xml:space="preserve">instead of </w:t>
      </w:r>
      <w:r w:rsidR="00D54C9D">
        <w:rPr>
          <w:rFonts w:ascii="Arial" w:hAnsi="Arial" w:cs="Arial"/>
          <w:sz w:val="24"/>
          <w:szCs w:val="24"/>
        </w:rPr>
        <w:t>seeking to undermine or challenge</w:t>
      </w:r>
      <w:r w:rsidRPr="003A27AE">
        <w:rPr>
          <w:rFonts w:ascii="Arial" w:hAnsi="Arial" w:cs="Arial"/>
          <w:sz w:val="24"/>
          <w:szCs w:val="24"/>
        </w:rPr>
        <w:t xml:space="preserve"> the mandate, industry should be discussing how best to build on it with logical devices and other products and services that augment the IHD but do not replace it.</w:t>
      </w:r>
    </w:p>
    <w:p w:rsidR="003A27AE" w:rsidRPr="003A27AE" w:rsidRDefault="003A27AE" w:rsidP="003A27AE">
      <w:pPr>
        <w:rPr>
          <w:rFonts w:ascii="Arial" w:hAnsi="Arial" w:cs="Arial"/>
          <w:sz w:val="24"/>
          <w:szCs w:val="24"/>
        </w:rPr>
      </w:pPr>
    </w:p>
    <w:p w:rsidR="00D41E67" w:rsidRPr="00D41E67" w:rsidRDefault="00D41E67" w:rsidP="00D41E67">
      <w:pPr>
        <w:rPr>
          <w:rFonts w:ascii="Arial" w:hAnsi="Arial" w:cs="Arial"/>
          <w:b/>
          <w:i/>
          <w:sz w:val="24"/>
          <w:szCs w:val="24"/>
        </w:rPr>
      </w:pPr>
      <w:r w:rsidRPr="00D41E67">
        <w:rPr>
          <w:rFonts w:ascii="Arial" w:hAnsi="Arial" w:cs="Arial"/>
          <w:b/>
          <w:i/>
          <w:sz w:val="24"/>
          <w:szCs w:val="24"/>
        </w:rPr>
        <w:t>Energy data in near-real time</w:t>
      </w:r>
    </w:p>
    <w:p w:rsidR="00D41E67" w:rsidRDefault="00D41E67" w:rsidP="00D41E67">
      <w:pPr>
        <w:rPr>
          <w:rFonts w:ascii="Arial" w:hAnsi="Arial" w:cs="Arial"/>
          <w:sz w:val="24"/>
          <w:szCs w:val="24"/>
        </w:rPr>
      </w:pPr>
    </w:p>
    <w:p w:rsidR="003A27AE" w:rsidRPr="00D41E67" w:rsidRDefault="003A27AE" w:rsidP="00D41E67">
      <w:pPr>
        <w:rPr>
          <w:rFonts w:ascii="Arial" w:hAnsi="Arial" w:cs="Arial"/>
          <w:sz w:val="24"/>
          <w:szCs w:val="24"/>
        </w:rPr>
      </w:pPr>
      <w:r w:rsidRPr="00D41E67">
        <w:rPr>
          <w:rFonts w:ascii="Arial" w:hAnsi="Arial" w:cs="Arial"/>
          <w:sz w:val="24"/>
          <w:szCs w:val="24"/>
        </w:rPr>
        <w:t xml:space="preserve">The fundamental </w:t>
      </w:r>
      <w:r w:rsidR="00D41E67">
        <w:rPr>
          <w:rFonts w:ascii="Arial" w:hAnsi="Arial" w:cs="Arial"/>
          <w:sz w:val="24"/>
          <w:szCs w:val="24"/>
        </w:rPr>
        <w:t xml:space="preserve">premise of smart metering is that it will engage consumers by giving them </w:t>
      </w:r>
      <w:r w:rsidRPr="00D41E67">
        <w:rPr>
          <w:rFonts w:ascii="Arial" w:hAnsi="Arial" w:cs="Arial"/>
          <w:sz w:val="24"/>
          <w:szCs w:val="24"/>
        </w:rPr>
        <w:t xml:space="preserve">access to </w:t>
      </w:r>
      <w:r w:rsidR="00D41E67">
        <w:rPr>
          <w:rFonts w:ascii="Arial" w:hAnsi="Arial" w:cs="Arial"/>
          <w:sz w:val="24"/>
          <w:szCs w:val="24"/>
        </w:rPr>
        <w:t>near-</w:t>
      </w:r>
      <w:r w:rsidRPr="00D41E67">
        <w:rPr>
          <w:rFonts w:ascii="Arial" w:hAnsi="Arial" w:cs="Arial"/>
          <w:sz w:val="24"/>
          <w:szCs w:val="24"/>
        </w:rPr>
        <w:t xml:space="preserve">real-time data. </w:t>
      </w:r>
      <w:r w:rsidR="00D41E67">
        <w:rPr>
          <w:rFonts w:ascii="Arial" w:hAnsi="Arial" w:cs="Arial"/>
          <w:sz w:val="24"/>
          <w:szCs w:val="24"/>
        </w:rPr>
        <w:t xml:space="preserve">It is BEAMA’s strong view that any alternative to the IHD that does not contain </w:t>
      </w:r>
      <w:r w:rsidRPr="00D41E67">
        <w:rPr>
          <w:rFonts w:ascii="Arial" w:hAnsi="Arial" w:cs="Arial"/>
          <w:sz w:val="24"/>
          <w:szCs w:val="24"/>
        </w:rPr>
        <w:t xml:space="preserve">a Home Energy Management System </w:t>
      </w:r>
      <w:r w:rsidR="00D41E67">
        <w:rPr>
          <w:rFonts w:ascii="Arial" w:hAnsi="Arial" w:cs="Arial"/>
          <w:sz w:val="24"/>
          <w:szCs w:val="24"/>
        </w:rPr>
        <w:t>with easy consumer access to</w:t>
      </w:r>
      <w:r w:rsidRPr="00D41E67">
        <w:rPr>
          <w:rFonts w:ascii="Arial" w:hAnsi="Arial" w:cs="Arial"/>
          <w:sz w:val="24"/>
          <w:szCs w:val="24"/>
        </w:rPr>
        <w:t xml:space="preserve"> real time data, whether based on historical or comparative information, is quite simply a non-starter. </w:t>
      </w:r>
      <w:r w:rsidR="00D41E67">
        <w:rPr>
          <w:rFonts w:ascii="Arial" w:hAnsi="Arial" w:cs="Arial"/>
          <w:sz w:val="24"/>
          <w:szCs w:val="24"/>
        </w:rPr>
        <w:t>We note that the IHD provides this information to all residents of a property, not just the primary bill-payer.</w:t>
      </w:r>
    </w:p>
    <w:p w:rsidR="003A27AE" w:rsidRPr="003A27AE" w:rsidRDefault="003A27AE" w:rsidP="003A27AE">
      <w:pPr>
        <w:rPr>
          <w:rFonts w:ascii="Arial" w:hAnsi="Arial" w:cs="Arial"/>
          <w:sz w:val="24"/>
          <w:szCs w:val="24"/>
        </w:rPr>
      </w:pPr>
    </w:p>
    <w:p w:rsidR="003A27AE" w:rsidRPr="007B470F" w:rsidRDefault="003A27AE" w:rsidP="003A27AE">
      <w:pPr>
        <w:rPr>
          <w:rFonts w:ascii="Arial" w:hAnsi="Arial" w:cs="Arial"/>
          <w:b/>
          <w:i/>
          <w:sz w:val="24"/>
          <w:szCs w:val="24"/>
        </w:rPr>
      </w:pPr>
      <w:r w:rsidRPr="007B470F">
        <w:rPr>
          <w:rFonts w:ascii="Arial" w:hAnsi="Arial" w:cs="Arial"/>
          <w:b/>
          <w:i/>
          <w:sz w:val="24"/>
          <w:szCs w:val="24"/>
        </w:rPr>
        <w:t>The</w:t>
      </w:r>
      <w:r w:rsidR="007B470F">
        <w:rPr>
          <w:rFonts w:ascii="Arial" w:hAnsi="Arial" w:cs="Arial"/>
          <w:b/>
          <w:i/>
          <w:sz w:val="24"/>
          <w:szCs w:val="24"/>
        </w:rPr>
        <w:t xml:space="preserve"> Home Area Network</w:t>
      </w:r>
    </w:p>
    <w:p w:rsidR="007B470F" w:rsidRDefault="007B470F" w:rsidP="003A27AE">
      <w:pPr>
        <w:rPr>
          <w:rFonts w:ascii="Arial" w:hAnsi="Arial" w:cs="Arial"/>
          <w:sz w:val="24"/>
          <w:szCs w:val="24"/>
        </w:rPr>
      </w:pPr>
    </w:p>
    <w:p w:rsidR="003A27AE" w:rsidRDefault="003A27AE" w:rsidP="003A27AE">
      <w:pPr>
        <w:rPr>
          <w:rFonts w:ascii="Arial" w:hAnsi="Arial" w:cs="Arial"/>
          <w:sz w:val="24"/>
          <w:szCs w:val="24"/>
        </w:rPr>
      </w:pPr>
      <w:r w:rsidRPr="003A27AE">
        <w:rPr>
          <w:rFonts w:ascii="Arial" w:hAnsi="Arial" w:cs="Arial"/>
          <w:sz w:val="24"/>
          <w:szCs w:val="24"/>
        </w:rPr>
        <w:t xml:space="preserve">In section 1.2 of the consultation, the Government notes that “consumers will have near-real time information on their energy consumption to help them control and manage their energy use”. </w:t>
      </w:r>
      <w:r w:rsidR="007B470F">
        <w:rPr>
          <w:rFonts w:ascii="Arial" w:hAnsi="Arial" w:cs="Arial"/>
          <w:sz w:val="24"/>
          <w:szCs w:val="24"/>
        </w:rPr>
        <w:t>In our response to this consultation, BEAMA</w:t>
      </w:r>
      <w:r w:rsidRPr="003A27AE">
        <w:rPr>
          <w:rFonts w:ascii="Arial" w:hAnsi="Arial" w:cs="Arial"/>
          <w:sz w:val="24"/>
          <w:szCs w:val="24"/>
        </w:rPr>
        <w:t xml:space="preserve"> seek</w:t>
      </w:r>
      <w:r w:rsidR="007B470F">
        <w:rPr>
          <w:rFonts w:ascii="Arial" w:hAnsi="Arial" w:cs="Arial"/>
          <w:sz w:val="24"/>
          <w:szCs w:val="24"/>
        </w:rPr>
        <w:t>s</w:t>
      </w:r>
      <w:r w:rsidRPr="003A27AE">
        <w:rPr>
          <w:rFonts w:ascii="Arial" w:hAnsi="Arial" w:cs="Arial"/>
          <w:sz w:val="24"/>
          <w:szCs w:val="24"/>
        </w:rPr>
        <w:t xml:space="preserve"> assurances that this principle is inviolable regardless of the outcome of any study comparing near-real time feedback with other forms of feedback. This is because the benefits of near-real time data extend beyond its effect on consumer behaviour; there are </w:t>
      </w:r>
      <w:r w:rsidR="007B470F">
        <w:rPr>
          <w:rFonts w:ascii="Arial" w:hAnsi="Arial" w:cs="Arial"/>
          <w:sz w:val="24"/>
          <w:szCs w:val="24"/>
        </w:rPr>
        <w:t xml:space="preserve">additional consumer and </w:t>
      </w:r>
      <w:r w:rsidRPr="003A27AE">
        <w:rPr>
          <w:rFonts w:ascii="Arial" w:hAnsi="Arial" w:cs="Arial"/>
          <w:sz w:val="24"/>
          <w:szCs w:val="24"/>
        </w:rPr>
        <w:t xml:space="preserve">network benefits </w:t>
      </w:r>
      <w:r w:rsidR="007B470F">
        <w:rPr>
          <w:rFonts w:ascii="Arial" w:hAnsi="Arial" w:cs="Arial"/>
          <w:sz w:val="24"/>
          <w:szCs w:val="24"/>
        </w:rPr>
        <w:t>and</w:t>
      </w:r>
      <w:r w:rsidRPr="003A27AE">
        <w:rPr>
          <w:rFonts w:ascii="Arial" w:hAnsi="Arial" w:cs="Arial"/>
          <w:sz w:val="24"/>
          <w:szCs w:val="24"/>
        </w:rPr>
        <w:t xml:space="preserve"> dependent goods and services that will rely on a HAN that provides this information, whether or not an individual consumer wishes to access such data.</w:t>
      </w:r>
    </w:p>
    <w:p w:rsidR="00AD3EE3" w:rsidRDefault="00AD3EE3" w:rsidP="003A27AE">
      <w:pPr>
        <w:rPr>
          <w:rFonts w:ascii="Arial" w:hAnsi="Arial" w:cs="Arial"/>
          <w:sz w:val="24"/>
          <w:szCs w:val="24"/>
        </w:rPr>
      </w:pPr>
    </w:p>
    <w:p w:rsidR="00AD3EE3" w:rsidRDefault="00AD3EE3" w:rsidP="00AD3EE3">
      <w:pPr>
        <w:rPr>
          <w:rFonts w:ascii="Arial" w:hAnsi="Arial" w:cs="Arial"/>
          <w:sz w:val="24"/>
          <w:szCs w:val="24"/>
        </w:rPr>
      </w:pPr>
      <w:r w:rsidRPr="00AD3EE3">
        <w:rPr>
          <w:rFonts w:ascii="Arial" w:hAnsi="Arial" w:cs="Arial"/>
          <w:sz w:val="24"/>
          <w:szCs w:val="24"/>
        </w:rPr>
        <w:t>The BEAMA Connected Homes Group (CHG) Management Committee has reviewed the Consultation in consideration of how the smart metering infrastructure, including the CAD and IHD, will enable smart grid applications in the future domestic energy market.</w:t>
      </w:r>
      <w:r>
        <w:rPr>
          <w:rFonts w:ascii="Arial" w:hAnsi="Arial" w:cs="Arial"/>
          <w:sz w:val="24"/>
          <w:szCs w:val="24"/>
        </w:rPr>
        <w:t xml:space="preserve"> </w:t>
      </w:r>
      <w:r w:rsidRPr="00AD3EE3">
        <w:rPr>
          <w:rFonts w:ascii="Arial" w:hAnsi="Arial" w:cs="Arial"/>
          <w:sz w:val="24"/>
          <w:szCs w:val="24"/>
        </w:rPr>
        <w:t xml:space="preserve">The BEAMA CHG consists of </w:t>
      </w:r>
      <w:r>
        <w:rPr>
          <w:rFonts w:ascii="Arial" w:hAnsi="Arial" w:cs="Arial"/>
          <w:sz w:val="24"/>
          <w:szCs w:val="24"/>
        </w:rPr>
        <w:t>more than</w:t>
      </w:r>
      <w:r w:rsidRPr="00AD3EE3">
        <w:rPr>
          <w:rFonts w:ascii="Arial" w:hAnsi="Arial" w:cs="Arial"/>
          <w:sz w:val="24"/>
          <w:szCs w:val="24"/>
        </w:rPr>
        <w:t xml:space="preserve"> 20 UK manufacturers of connected homes devices, including metering, IHDs, CADs, low carbon technologies and energy management systems and controls</w:t>
      </w:r>
      <w:r w:rsidR="00D313F4">
        <w:rPr>
          <w:rFonts w:ascii="Arial" w:hAnsi="Arial" w:cs="Arial"/>
          <w:sz w:val="24"/>
          <w:szCs w:val="24"/>
        </w:rPr>
        <w:t xml:space="preserve"> (see Annex 2)</w:t>
      </w:r>
      <w:r w:rsidRPr="00AD3EE3">
        <w:rPr>
          <w:rFonts w:ascii="Arial" w:hAnsi="Arial" w:cs="Arial"/>
          <w:sz w:val="24"/>
          <w:szCs w:val="24"/>
        </w:rPr>
        <w:t>.</w:t>
      </w:r>
      <w:r>
        <w:rPr>
          <w:rFonts w:ascii="Arial" w:hAnsi="Arial" w:cs="Arial"/>
          <w:sz w:val="24"/>
          <w:szCs w:val="24"/>
        </w:rPr>
        <w:t xml:space="preserve"> </w:t>
      </w:r>
      <w:r w:rsidRPr="00AD3EE3">
        <w:rPr>
          <w:rFonts w:ascii="Arial" w:hAnsi="Arial" w:cs="Arial"/>
          <w:sz w:val="24"/>
          <w:szCs w:val="24"/>
        </w:rPr>
        <w:t>So, the membership of this group covers the full supply chain for domestic gas and electric appliances and control systems that will link to the Smart Metering HAN.</w:t>
      </w:r>
      <w:r>
        <w:rPr>
          <w:rFonts w:ascii="Arial" w:hAnsi="Arial" w:cs="Arial"/>
          <w:sz w:val="24"/>
          <w:szCs w:val="24"/>
        </w:rPr>
        <w:t xml:space="preserve"> </w:t>
      </w:r>
      <w:r w:rsidRPr="00AD3EE3">
        <w:rPr>
          <w:rFonts w:ascii="Arial" w:hAnsi="Arial" w:cs="Arial"/>
          <w:sz w:val="24"/>
          <w:szCs w:val="24"/>
        </w:rPr>
        <w:t>Membership includes large multinationals as well as SMEs.</w:t>
      </w:r>
      <w:r>
        <w:rPr>
          <w:rFonts w:ascii="Arial" w:hAnsi="Arial" w:cs="Arial"/>
          <w:sz w:val="24"/>
          <w:szCs w:val="24"/>
        </w:rPr>
        <w:t xml:space="preserve"> </w:t>
      </w:r>
      <w:r w:rsidRPr="00AD3EE3">
        <w:rPr>
          <w:rFonts w:ascii="Arial" w:hAnsi="Arial" w:cs="Arial"/>
          <w:sz w:val="24"/>
          <w:szCs w:val="24"/>
        </w:rPr>
        <w:t>The scope of this group covers system integration in the Consumer Home Area Network, including interfaces with the Grid and Smart Metering Home Area Network, and domestic services (low carbon technologies, and distributed generation.</w:t>
      </w:r>
    </w:p>
    <w:p w:rsidR="00AD3EE3" w:rsidRPr="00AD3EE3" w:rsidRDefault="00AD3EE3" w:rsidP="00AD3EE3">
      <w:pPr>
        <w:rPr>
          <w:rFonts w:ascii="Arial" w:hAnsi="Arial" w:cs="Arial"/>
          <w:sz w:val="24"/>
          <w:szCs w:val="24"/>
        </w:rPr>
      </w:pPr>
    </w:p>
    <w:p w:rsidR="00AD3EE3" w:rsidRDefault="00AD3EE3" w:rsidP="00AD3EE3">
      <w:pPr>
        <w:rPr>
          <w:rFonts w:ascii="Arial" w:hAnsi="Arial" w:cs="Arial"/>
          <w:sz w:val="24"/>
          <w:szCs w:val="24"/>
        </w:rPr>
      </w:pPr>
      <w:r w:rsidRPr="00AD3EE3">
        <w:rPr>
          <w:rFonts w:ascii="Arial" w:hAnsi="Arial" w:cs="Arial"/>
          <w:sz w:val="24"/>
          <w:szCs w:val="24"/>
        </w:rPr>
        <w:t>BEAMA CHG is very supportive of the Government position to provide a mandated IHD at point of installation to domestic and small commercial customers.</w:t>
      </w:r>
      <w:r>
        <w:rPr>
          <w:rFonts w:ascii="Arial" w:hAnsi="Arial" w:cs="Arial"/>
          <w:sz w:val="24"/>
          <w:szCs w:val="24"/>
        </w:rPr>
        <w:t xml:space="preserve"> </w:t>
      </w:r>
      <w:r w:rsidRPr="00AD3EE3">
        <w:rPr>
          <w:rFonts w:ascii="Arial" w:hAnsi="Arial" w:cs="Arial"/>
          <w:sz w:val="24"/>
          <w:szCs w:val="24"/>
        </w:rPr>
        <w:t xml:space="preserve">This element of GB smart meter rollout is a vital part of the benefits case and in the provision of real time energy use data to consumers. Any supplementary </w:t>
      </w:r>
      <w:r>
        <w:rPr>
          <w:rFonts w:ascii="Arial" w:hAnsi="Arial" w:cs="Arial"/>
          <w:sz w:val="24"/>
          <w:szCs w:val="24"/>
        </w:rPr>
        <w:t xml:space="preserve">or alternative </w:t>
      </w:r>
      <w:r w:rsidRPr="00AD3EE3">
        <w:rPr>
          <w:rFonts w:ascii="Arial" w:hAnsi="Arial" w:cs="Arial"/>
          <w:sz w:val="24"/>
          <w:szCs w:val="24"/>
        </w:rPr>
        <w:t>option must retain the in-home communications already defined in the smart metering specification and the real time nature of data accessed by the consumer.</w:t>
      </w:r>
    </w:p>
    <w:p w:rsidR="00AD3EE3" w:rsidRPr="00AD3EE3" w:rsidRDefault="00AD3EE3" w:rsidP="00AD3EE3">
      <w:pPr>
        <w:rPr>
          <w:rFonts w:ascii="Arial" w:hAnsi="Arial" w:cs="Arial"/>
          <w:sz w:val="24"/>
          <w:szCs w:val="24"/>
        </w:rPr>
      </w:pPr>
    </w:p>
    <w:p w:rsidR="00AD3EE3" w:rsidRDefault="00AD3EE3" w:rsidP="00AD3EE3">
      <w:pPr>
        <w:rPr>
          <w:rFonts w:ascii="Arial" w:hAnsi="Arial" w:cs="Arial"/>
          <w:sz w:val="24"/>
          <w:szCs w:val="24"/>
        </w:rPr>
      </w:pPr>
      <w:r w:rsidRPr="00AD3EE3">
        <w:rPr>
          <w:rFonts w:ascii="Arial" w:hAnsi="Arial" w:cs="Arial"/>
          <w:sz w:val="24"/>
          <w:szCs w:val="24"/>
        </w:rPr>
        <w:t>The provision of real time data and the existence of the consumer HAN</w:t>
      </w:r>
      <w:r>
        <w:rPr>
          <w:rFonts w:ascii="Arial" w:hAnsi="Arial" w:cs="Arial"/>
          <w:sz w:val="24"/>
          <w:szCs w:val="24"/>
        </w:rPr>
        <w:t xml:space="preserve"> are</w:t>
      </w:r>
      <w:r w:rsidRPr="00AD3EE3">
        <w:rPr>
          <w:rFonts w:ascii="Arial" w:hAnsi="Arial" w:cs="Arial"/>
          <w:sz w:val="24"/>
          <w:szCs w:val="24"/>
        </w:rPr>
        <w:t xml:space="preserve"> essential for future demand side market options for domestic and small commercial customers.</w:t>
      </w:r>
      <w:r>
        <w:rPr>
          <w:rFonts w:ascii="Arial" w:hAnsi="Arial" w:cs="Arial"/>
          <w:sz w:val="24"/>
          <w:szCs w:val="24"/>
        </w:rPr>
        <w:t xml:space="preserve"> </w:t>
      </w:r>
      <w:r w:rsidRPr="00AD3EE3">
        <w:rPr>
          <w:rFonts w:ascii="Arial" w:hAnsi="Arial" w:cs="Arial"/>
          <w:sz w:val="24"/>
          <w:szCs w:val="24"/>
        </w:rPr>
        <w:t>Therefore, any supplementary solution to be trial</w:t>
      </w:r>
      <w:r w:rsidR="00692740">
        <w:rPr>
          <w:rFonts w:ascii="Arial" w:hAnsi="Arial" w:cs="Arial"/>
          <w:sz w:val="24"/>
          <w:szCs w:val="24"/>
        </w:rPr>
        <w:t>l</w:t>
      </w:r>
      <w:r w:rsidRPr="00AD3EE3">
        <w:rPr>
          <w:rFonts w:ascii="Arial" w:hAnsi="Arial" w:cs="Arial"/>
          <w:sz w:val="24"/>
          <w:szCs w:val="24"/>
        </w:rPr>
        <w:t>ed should ensure the same if not more service options for consumers and their ability to engage in a demand side market.</w:t>
      </w:r>
      <w:r>
        <w:rPr>
          <w:rFonts w:ascii="Arial" w:hAnsi="Arial" w:cs="Arial"/>
          <w:sz w:val="24"/>
          <w:szCs w:val="24"/>
        </w:rPr>
        <w:t xml:space="preserve"> </w:t>
      </w:r>
      <w:r w:rsidRPr="00AD3EE3">
        <w:rPr>
          <w:rFonts w:ascii="Arial" w:hAnsi="Arial" w:cs="Arial"/>
          <w:sz w:val="24"/>
          <w:szCs w:val="24"/>
        </w:rPr>
        <w:t xml:space="preserve">There is significant innovation in this sector today, and therefore </w:t>
      </w:r>
      <w:r>
        <w:rPr>
          <w:rFonts w:ascii="Arial" w:hAnsi="Arial" w:cs="Arial"/>
          <w:sz w:val="24"/>
          <w:szCs w:val="24"/>
        </w:rPr>
        <w:t xml:space="preserve">significant </w:t>
      </w:r>
      <w:r w:rsidRPr="00AD3EE3">
        <w:rPr>
          <w:rFonts w:ascii="Arial" w:hAnsi="Arial" w:cs="Arial"/>
          <w:sz w:val="24"/>
          <w:szCs w:val="24"/>
        </w:rPr>
        <w:t>opportunities for manufacturers to develop more advanced solutions that can build on the existing Smart Meter,</w:t>
      </w:r>
      <w:r>
        <w:rPr>
          <w:rFonts w:ascii="Arial" w:hAnsi="Arial" w:cs="Arial"/>
          <w:sz w:val="24"/>
          <w:szCs w:val="24"/>
        </w:rPr>
        <w:t xml:space="preserve"> </w:t>
      </w:r>
      <w:r w:rsidRPr="00AD3EE3">
        <w:rPr>
          <w:rFonts w:ascii="Arial" w:hAnsi="Arial" w:cs="Arial"/>
          <w:sz w:val="24"/>
          <w:szCs w:val="24"/>
        </w:rPr>
        <w:t>Communications Hub and IHD infrastructure already installed in c</w:t>
      </w:r>
      <w:r>
        <w:rPr>
          <w:rFonts w:ascii="Arial" w:hAnsi="Arial" w:cs="Arial"/>
          <w:sz w:val="24"/>
          <w:szCs w:val="24"/>
        </w:rPr>
        <w:t>onsumer</w:t>
      </w:r>
      <w:r w:rsidRPr="00AD3EE3">
        <w:rPr>
          <w:rFonts w:ascii="Arial" w:hAnsi="Arial" w:cs="Arial"/>
          <w:sz w:val="24"/>
          <w:szCs w:val="24"/>
        </w:rPr>
        <w:t>s’ properties.</w:t>
      </w:r>
      <w:r>
        <w:rPr>
          <w:rFonts w:ascii="Arial" w:hAnsi="Arial" w:cs="Arial"/>
          <w:sz w:val="24"/>
          <w:szCs w:val="24"/>
        </w:rPr>
        <w:t xml:space="preserve"> </w:t>
      </w:r>
    </w:p>
    <w:p w:rsidR="00AD3EE3" w:rsidRPr="00AD3EE3" w:rsidRDefault="00AD3EE3" w:rsidP="00AD3EE3">
      <w:pPr>
        <w:rPr>
          <w:rFonts w:ascii="Arial" w:hAnsi="Arial" w:cs="Arial"/>
          <w:sz w:val="24"/>
          <w:szCs w:val="24"/>
        </w:rPr>
      </w:pPr>
    </w:p>
    <w:p w:rsidR="00AD3EE3" w:rsidRDefault="00AD3EE3" w:rsidP="00AD3EE3">
      <w:pPr>
        <w:rPr>
          <w:rFonts w:ascii="Arial" w:hAnsi="Arial" w:cs="Arial"/>
          <w:sz w:val="24"/>
          <w:szCs w:val="24"/>
        </w:rPr>
      </w:pPr>
      <w:r w:rsidRPr="00AD3EE3">
        <w:rPr>
          <w:rFonts w:ascii="Arial" w:hAnsi="Arial" w:cs="Arial"/>
          <w:sz w:val="24"/>
          <w:szCs w:val="24"/>
        </w:rPr>
        <w:t>If alternative solutions were to be accepted that do not explicitly require the existence of a Consumer Home Area Network (C</w:t>
      </w:r>
      <w:r>
        <w:rPr>
          <w:rFonts w:ascii="Arial" w:hAnsi="Arial" w:cs="Arial"/>
          <w:sz w:val="24"/>
          <w:szCs w:val="24"/>
        </w:rPr>
        <w:t>-</w:t>
      </w:r>
      <w:r w:rsidRPr="00AD3EE3">
        <w:rPr>
          <w:rFonts w:ascii="Arial" w:hAnsi="Arial" w:cs="Arial"/>
          <w:sz w:val="24"/>
          <w:szCs w:val="24"/>
        </w:rPr>
        <w:t>HAN) in order to operate, there is a risk that energy retailers could challenge the need for supplying a C</w:t>
      </w:r>
      <w:r>
        <w:rPr>
          <w:rFonts w:ascii="Arial" w:hAnsi="Arial" w:cs="Arial"/>
          <w:sz w:val="24"/>
          <w:szCs w:val="24"/>
        </w:rPr>
        <w:t>-</w:t>
      </w:r>
      <w:r w:rsidRPr="00AD3EE3">
        <w:rPr>
          <w:rFonts w:ascii="Arial" w:hAnsi="Arial" w:cs="Arial"/>
          <w:sz w:val="24"/>
          <w:szCs w:val="24"/>
        </w:rPr>
        <w:t xml:space="preserve">HAN at all (assuming they have demonstrated similar consumer benefits derived from a </w:t>
      </w:r>
      <w:r>
        <w:rPr>
          <w:rFonts w:ascii="Arial" w:hAnsi="Arial" w:cs="Arial"/>
          <w:sz w:val="24"/>
          <w:szCs w:val="24"/>
        </w:rPr>
        <w:t xml:space="preserve">solution not requiring a </w:t>
      </w:r>
      <w:r w:rsidRPr="00AD3EE3">
        <w:rPr>
          <w:rFonts w:ascii="Arial" w:hAnsi="Arial" w:cs="Arial"/>
          <w:sz w:val="24"/>
          <w:szCs w:val="24"/>
        </w:rPr>
        <w:t>C</w:t>
      </w:r>
      <w:r>
        <w:rPr>
          <w:rFonts w:ascii="Arial" w:hAnsi="Arial" w:cs="Arial"/>
          <w:sz w:val="24"/>
          <w:szCs w:val="24"/>
        </w:rPr>
        <w:t>-</w:t>
      </w:r>
      <w:r w:rsidRPr="00AD3EE3">
        <w:rPr>
          <w:rFonts w:ascii="Arial" w:hAnsi="Arial" w:cs="Arial"/>
          <w:sz w:val="24"/>
          <w:szCs w:val="24"/>
        </w:rPr>
        <w:t>HAN).</w:t>
      </w:r>
    </w:p>
    <w:p w:rsidR="00AD3EE3" w:rsidRPr="00AD3EE3" w:rsidRDefault="00AD3EE3" w:rsidP="00AD3EE3">
      <w:pPr>
        <w:rPr>
          <w:rFonts w:ascii="Arial" w:hAnsi="Arial" w:cs="Arial"/>
          <w:sz w:val="24"/>
          <w:szCs w:val="24"/>
        </w:rPr>
      </w:pPr>
      <w:r>
        <w:rPr>
          <w:rFonts w:ascii="Arial" w:hAnsi="Arial" w:cs="Arial"/>
          <w:sz w:val="24"/>
          <w:szCs w:val="24"/>
        </w:rPr>
        <w:t xml:space="preserve"> </w:t>
      </w:r>
    </w:p>
    <w:p w:rsidR="00AD3EE3" w:rsidRDefault="00AD3EE3" w:rsidP="00AD3EE3">
      <w:pPr>
        <w:rPr>
          <w:rFonts w:ascii="Arial" w:hAnsi="Arial" w:cs="Arial"/>
          <w:sz w:val="24"/>
          <w:szCs w:val="24"/>
        </w:rPr>
      </w:pPr>
      <w:r w:rsidRPr="00AD3EE3">
        <w:rPr>
          <w:rFonts w:ascii="Arial" w:hAnsi="Arial" w:cs="Arial"/>
          <w:sz w:val="24"/>
          <w:szCs w:val="24"/>
        </w:rPr>
        <w:t>The BEAMA CHG, with the support of its members, has done a lot of work recently to demonstrate how the link to the Smart Metering Home Area Network (SM</w:t>
      </w:r>
      <w:r>
        <w:rPr>
          <w:rFonts w:ascii="Arial" w:hAnsi="Arial" w:cs="Arial"/>
          <w:sz w:val="24"/>
          <w:szCs w:val="24"/>
        </w:rPr>
        <w:t>-</w:t>
      </w:r>
      <w:r w:rsidRPr="00AD3EE3">
        <w:rPr>
          <w:rFonts w:ascii="Arial" w:hAnsi="Arial" w:cs="Arial"/>
          <w:sz w:val="24"/>
          <w:szCs w:val="24"/>
        </w:rPr>
        <w:t xml:space="preserve">HAN) and application of the IHD is vital </w:t>
      </w:r>
      <w:r>
        <w:rPr>
          <w:rFonts w:ascii="Arial" w:hAnsi="Arial" w:cs="Arial"/>
          <w:sz w:val="24"/>
          <w:szCs w:val="24"/>
        </w:rPr>
        <w:t>to</w:t>
      </w:r>
      <w:r w:rsidRPr="00AD3EE3">
        <w:rPr>
          <w:rFonts w:ascii="Arial" w:hAnsi="Arial" w:cs="Arial"/>
          <w:sz w:val="24"/>
          <w:szCs w:val="24"/>
        </w:rPr>
        <w:t xml:space="preserve"> future demand side applications. The provision of real-time data in omnipresent form is crucial in this respect. UK and multinational companies are working to develop solutions that will be interoperable and can utilise data from the C</w:t>
      </w:r>
      <w:r>
        <w:rPr>
          <w:rFonts w:ascii="Arial" w:hAnsi="Arial" w:cs="Arial"/>
          <w:sz w:val="24"/>
          <w:szCs w:val="24"/>
        </w:rPr>
        <w:t>-</w:t>
      </w:r>
      <w:r w:rsidRPr="00AD3EE3">
        <w:rPr>
          <w:rFonts w:ascii="Arial" w:hAnsi="Arial" w:cs="Arial"/>
          <w:sz w:val="24"/>
          <w:szCs w:val="24"/>
        </w:rPr>
        <w:t xml:space="preserve">HAN. Therefore, removing this capability could drastically affect the future options customers have and potentially create more confusion in the market. </w:t>
      </w:r>
    </w:p>
    <w:p w:rsidR="00AD3EE3" w:rsidRPr="00AD3EE3" w:rsidRDefault="00AD3EE3" w:rsidP="00AD3EE3">
      <w:pPr>
        <w:rPr>
          <w:rFonts w:ascii="Arial" w:hAnsi="Arial" w:cs="Arial"/>
          <w:sz w:val="24"/>
          <w:szCs w:val="24"/>
        </w:rPr>
      </w:pPr>
    </w:p>
    <w:p w:rsidR="00AD3EE3" w:rsidRPr="00AD3EE3" w:rsidRDefault="00AD3EE3" w:rsidP="00AD3EE3">
      <w:pPr>
        <w:rPr>
          <w:rFonts w:ascii="Arial" w:hAnsi="Arial" w:cs="Arial"/>
          <w:sz w:val="24"/>
          <w:szCs w:val="24"/>
        </w:rPr>
      </w:pPr>
      <w:r w:rsidRPr="00AD3EE3">
        <w:rPr>
          <w:rFonts w:ascii="Arial" w:hAnsi="Arial" w:cs="Arial"/>
          <w:sz w:val="24"/>
          <w:szCs w:val="24"/>
        </w:rPr>
        <w:t>The recommendation of the BEAMA CHG is that any alternative measure to be proposed as part of a derogation to its license obligations on the part of an energy supplier must be based on real-time energy data provision; must be capable of being accessed by socially vulnerable groups; and must not preclude any household from being able to access future connected homes solutions and services following the installation of its smart metering system that may contain the afore-stated alternative measure.</w:t>
      </w:r>
    </w:p>
    <w:p w:rsidR="003A27AE" w:rsidRDefault="003A27AE" w:rsidP="00047165">
      <w:pPr>
        <w:rPr>
          <w:rFonts w:ascii="Arial" w:hAnsi="Arial" w:cs="Arial"/>
          <w:sz w:val="24"/>
          <w:szCs w:val="24"/>
        </w:rPr>
      </w:pPr>
    </w:p>
    <w:p w:rsidR="007B470F" w:rsidRPr="007B470F" w:rsidRDefault="007B470F" w:rsidP="00193948">
      <w:pPr>
        <w:rPr>
          <w:rFonts w:ascii="Arial" w:hAnsi="Arial" w:cs="Arial"/>
          <w:b/>
          <w:i/>
          <w:sz w:val="24"/>
          <w:szCs w:val="24"/>
        </w:rPr>
      </w:pPr>
      <w:r w:rsidRPr="007B470F">
        <w:rPr>
          <w:rFonts w:ascii="Arial" w:hAnsi="Arial" w:cs="Arial"/>
          <w:b/>
          <w:i/>
          <w:sz w:val="24"/>
          <w:szCs w:val="24"/>
        </w:rPr>
        <w:t>Answers to consultation questions</w:t>
      </w:r>
    </w:p>
    <w:p w:rsidR="007B470F" w:rsidRDefault="007B470F" w:rsidP="00193948">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 xml:space="preserve">Do you agree with the preferred approach for closing off the risk to the IHD offer summarised at paragraph 2.10c? </w:t>
      </w:r>
    </w:p>
    <w:p w:rsidR="007B470F" w:rsidRPr="007B470F" w:rsidRDefault="007B470F" w:rsidP="007B470F">
      <w:pPr>
        <w:rPr>
          <w:rFonts w:ascii="Arial" w:hAnsi="Arial" w:cs="Arial"/>
          <w:b/>
          <w:sz w:val="24"/>
          <w:szCs w:val="24"/>
        </w:rPr>
      </w:pPr>
    </w:p>
    <w:p w:rsidR="007B470F" w:rsidRPr="007B470F" w:rsidRDefault="007B470F" w:rsidP="007B470F">
      <w:pPr>
        <w:rPr>
          <w:rFonts w:ascii="Arial" w:hAnsi="Arial" w:cs="Arial"/>
          <w:sz w:val="24"/>
          <w:szCs w:val="24"/>
        </w:rPr>
      </w:pPr>
      <w:r w:rsidRPr="007B470F">
        <w:rPr>
          <w:rFonts w:ascii="Arial" w:hAnsi="Arial" w:cs="Arial"/>
          <w:sz w:val="24"/>
          <w:szCs w:val="24"/>
        </w:rPr>
        <w:t xml:space="preserve">Yes, but the proposal in the second paragraph, to strengthen requirements (both in the Licence Conditions and in the </w:t>
      </w:r>
      <w:proofErr w:type="spellStart"/>
      <w:r w:rsidRPr="007B470F">
        <w:rPr>
          <w:rFonts w:ascii="Arial" w:hAnsi="Arial" w:cs="Arial"/>
          <w:sz w:val="24"/>
          <w:szCs w:val="24"/>
        </w:rPr>
        <w:t>SMICoP</w:t>
      </w:r>
      <w:proofErr w:type="spellEnd"/>
      <w:r w:rsidRPr="007B470F">
        <w:rPr>
          <w:rFonts w:ascii="Arial" w:hAnsi="Arial" w:cs="Arial"/>
          <w:sz w:val="24"/>
          <w:szCs w:val="24"/>
        </w:rPr>
        <w:t xml:space="preserve">) on the advice and information suppliers are required to provide consumers when offering an IHD, also has some merit. We agree that this should reinforce the benefits of the IHD over the alternative and </w:t>
      </w:r>
      <w:r>
        <w:rPr>
          <w:rFonts w:ascii="Arial" w:hAnsi="Arial" w:cs="Arial"/>
          <w:sz w:val="24"/>
          <w:szCs w:val="24"/>
        </w:rPr>
        <w:t>increase its take-up by consumers</w:t>
      </w:r>
      <w:r w:rsidRPr="007B470F">
        <w:rPr>
          <w:rFonts w:ascii="Arial" w:hAnsi="Arial" w:cs="Arial"/>
          <w:sz w:val="24"/>
          <w:szCs w:val="24"/>
        </w:rPr>
        <w:t xml:space="preserve">. </w:t>
      </w:r>
      <w:r>
        <w:rPr>
          <w:rFonts w:ascii="Arial" w:hAnsi="Arial" w:cs="Arial"/>
          <w:sz w:val="24"/>
          <w:szCs w:val="24"/>
        </w:rPr>
        <w:t>This</w:t>
      </w:r>
      <w:r w:rsidRPr="007B470F">
        <w:rPr>
          <w:rFonts w:ascii="Arial" w:hAnsi="Arial" w:cs="Arial"/>
          <w:sz w:val="24"/>
          <w:szCs w:val="24"/>
        </w:rPr>
        <w:t xml:space="preserve"> would address the need to protect consumers from a supplier encouraging them to reject an IHD even though that may not be in the consumers’ best interests.</w:t>
      </w:r>
      <w:r w:rsidR="00AD3EE3">
        <w:rPr>
          <w:rFonts w:ascii="Arial" w:hAnsi="Arial" w:cs="Arial"/>
          <w:sz w:val="24"/>
          <w:szCs w:val="24"/>
        </w:rPr>
        <w:t xml:space="preserve"> </w:t>
      </w:r>
    </w:p>
    <w:p w:rsidR="007B470F" w:rsidRPr="007B470F" w:rsidRDefault="007B470F" w:rsidP="007B470F">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 xml:space="preserve">Do you have any comments on the proposed legal drafting amending IHD Licence Conditions at Annex 2? </w:t>
      </w:r>
    </w:p>
    <w:p w:rsidR="007B470F" w:rsidRPr="007B470F" w:rsidRDefault="007B470F" w:rsidP="007B470F">
      <w:pPr>
        <w:rPr>
          <w:rFonts w:ascii="Arial" w:hAnsi="Arial" w:cs="Arial"/>
          <w:b/>
          <w:sz w:val="24"/>
          <w:szCs w:val="24"/>
        </w:rPr>
      </w:pPr>
    </w:p>
    <w:p w:rsidR="007B470F" w:rsidRPr="007B470F" w:rsidRDefault="00692740" w:rsidP="007B470F">
      <w:pPr>
        <w:rPr>
          <w:rFonts w:ascii="Arial" w:hAnsi="Arial" w:cs="Arial"/>
          <w:sz w:val="24"/>
          <w:szCs w:val="24"/>
        </w:rPr>
      </w:pPr>
      <w:r>
        <w:rPr>
          <w:rFonts w:ascii="Arial" w:hAnsi="Arial" w:cs="Arial"/>
          <w:sz w:val="24"/>
          <w:szCs w:val="24"/>
        </w:rPr>
        <w:t>No.</w:t>
      </w:r>
    </w:p>
    <w:p w:rsidR="007B470F" w:rsidRPr="007B470F" w:rsidRDefault="007B470F" w:rsidP="007B470F">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Do you agree with the proposal to allow suppliers under their Licence Conditions to apply to the Secretary of State for a derogation from the IHD mandate in order to trial IHD alternatives?</w:t>
      </w:r>
    </w:p>
    <w:p w:rsidR="007B470F" w:rsidRPr="007B470F" w:rsidRDefault="007B470F" w:rsidP="007B470F">
      <w:pPr>
        <w:rPr>
          <w:rFonts w:ascii="Arial" w:hAnsi="Arial" w:cs="Arial"/>
          <w:b/>
          <w:sz w:val="24"/>
          <w:szCs w:val="24"/>
        </w:rPr>
      </w:pPr>
    </w:p>
    <w:p w:rsidR="007B470F" w:rsidRPr="006716E7" w:rsidRDefault="007B470F" w:rsidP="007B470F">
      <w:pPr>
        <w:rPr>
          <w:rFonts w:ascii="Arial" w:hAnsi="Arial" w:cs="Arial"/>
          <w:sz w:val="24"/>
          <w:szCs w:val="24"/>
        </w:rPr>
      </w:pPr>
      <w:r w:rsidRPr="006716E7">
        <w:rPr>
          <w:rFonts w:ascii="Arial" w:hAnsi="Arial" w:cs="Arial"/>
          <w:sz w:val="24"/>
          <w:szCs w:val="24"/>
        </w:rPr>
        <w:t>Yes.</w:t>
      </w:r>
    </w:p>
    <w:p w:rsidR="007B470F" w:rsidRPr="007B470F" w:rsidRDefault="007B470F" w:rsidP="007B470F">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Do you agree with the proposed broad principles underlying the derogation process and the scope of the design requirements to be included in trial guidance? Please provide evidence to support your response and any other matters that you think should be taken into account.</w:t>
      </w:r>
    </w:p>
    <w:p w:rsidR="006716E7" w:rsidRDefault="006716E7" w:rsidP="007B470F">
      <w:pPr>
        <w:rPr>
          <w:rFonts w:ascii="Arial" w:hAnsi="Arial" w:cs="Arial"/>
          <w:sz w:val="24"/>
          <w:szCs w:val="24"/>
        </w:rPr>
      </w:pPr>
    </w:p>
    <w:p w:rsidR="007B470F" w:rsidRDefault="007B470F" w:rsidP="007B470F">
      <w:pPr>
        <w:rPr>
          <w:rFonts w:ascii="Arial" w:hAnsi="Arial" w:cs="Arial"/>
          <w:sz w:val="24"/>
          <w:szCs w:val="24"/>
        </w:rPr>
      </w:pPr>
      <w:r w:rsidRPr="006716E7">
        <w:rPr>
          <w:rFonts w:ascii="Arial" w:hAnsi="Arial" w:cs="Arial"/>
          <w:sz w:val="24"/>
          <w:szCs w:val="24"/>
        </w:rPr>
        <w:t>The Government is seeking evidence on the value to consumers of the alternative engagement tools both in terms of energy saving and in terms of the</w:t>
      </w:r>
      <w:r w:rsidR="006716E7">
        <w:rPr>
          <w:rFonts w:ascii="Arial" w:hAnsi="Arial" w:cs="Arial"/>
          <w:sz w:val="24"/>
          <w:szCs w:val="24"/>
        </w:rPr>
        <w:t xml:space="preserve"> consumer journey (section 3.2).</w:t>
      </w:r>
      <w:r w:rsidRPr="006716E7">
        <w:rPr>
          <w:rFonts w:ascii="Arial" w:hAnsi="Arial" w:cs="Arial"/>
          <w:sz w:val="24"/>
          <w:szCs w:val="24"/>
        </w:rPr>
        <w:t xml:space="preserve"> Therefore</w:t>
      </w:r>
      <w:r w:rsidR="006716E7">
        <w:rPr>
          <w:rFonts w:ascii="Arial" w:hAnsi="Arial" w:cs="Arial"/>
          <w:sz w:val="24"/>
          <w:szCs w:val="24"/>
        </w:rPr>
        <w:t>,</w:t>
      </w:r>
      <w:r w:rsidRPr="006716E7">
        <w:rPr>
          <w:rFonts w:ascii="Arial" w:hAnsi="Arial" w:cs="Arial"/>
          <w:sz w:val="24"/>
          <w:szCs w:val="24"/>
        </w:rPr>
        <w:t xml:space="preserve"> a successful trial should be subject to the following criteria </w:t>
      </w:r>
      <w:r w:rsidRPr="006716E7">
        <w:rPr>
          <w:rFonts w:ascii="Arial" w:hAnsi="Arial" w:cs="Arial"/>
          <w:i/>
          <w:sz w:val="24"/>
          <w:szCs w:val="24"/>
        </w:rPr>
        <w:t>as a minimum</w:t>
      </w:r>
      <w:r w:rsidR="001E4152">
        <w:rPr>
          <w:rFonts w:ascii="Arial" w:hAnsi="Arial" w:cs="Arial"/>
          <w:sz w:val="24"/>
          <w:szCs w:val="24"/>
        </w:rPr>
        <w:t>. A successful trial will:</w:t>
      </w:r>
    </w:p>
    <w:p w:rsidR="006716E7" w:rsidRPr="006716E7" w:rsidRDefault="006716E7" w:rsidP="007B470F">
      <w:pPr>
        <w:rPr>
          <w:rFonts w:ascii="Arial" w:hAnsi="Arial" w:cs="Arial"/>
          <w:sz w:val="24"/>
          <w:szCs w:val="24"/>
        </w:rPr>
      </w:pPr>
    </w:p>
    <w:p w:rsidR="007B470F" w:rsidRPr="006716E7" w:rsidRDefault="007B470F" w:rsidP="007B470F">
      <w:pPr>
        <w:numPr>
          <w:ilvl w:val="0"/>
          <w:numId w:val="33"/>
        </w:numPr>
        <w:rPr>
          <w:rFonts w:ascii="Arial" w:hAnsi="Arial" w:cs="Arial"/>
          <w:sz w:val="24"/>
          <w:szCs w:val="24"/>
        </w:rPr>
      </w:pPr>
      <w:r w:rsidRPr="006716E7">
        <w:rPr>
          <w:rFonts w:ascii="Arial" w:hAnsi="Arial" w:cs="Arial"/>
          <w:sz w:val="24"/>
          <w:szCs w:val="24"/>
        </w:rPr>
        <w:t xml:space="preserve">show an alternative to be BOTH cheaper and </w:t>
      </w:r>
      <w:r w:rsidR="006716E7">
        <w:rPr>
          <w:rFonts w:ascii="Arial" w:hAnsi="Arial" w:cs="Arial"/>
          <w:sz w:val="24"/>
          <w:szCs w:val="24"/>
        </w:rPr>
        <w:t>more effective in real terms</w:t>
      </w:r>
      <w:r w:rsidRPr="006716E7">
        <w:rPr>
          <w:rFonts w:ascii="Arial" w:hAnsi="Arial" w:cs="Arial"/>
          <w:sz w:val="24"/>
          <w:szCs w:val="24"/>
        </w:rPr>
        <w:t>.</w:t>
      </w:r>
    </w:p>
    <w:p w:rsidR="007B470F" w:rsidRPr="006716E7" w:rsidRDefault="007B470F" w:rsidP="007B470F">
      <w:pPr>
        <w:numPr>
          <w:ilvl w:val="0"/>
          <w:numId w:val="33"/>
        </w:numPr>
        <w:rPr>
          <w:rFonts w:ascii="Arial" w:hAnsi="Arial" w:cs="Arial"/>
          <w:sz w:val="24"/>
          <w:szCs w:val="24"/>
        </w:rPr>
      </w:pPr>
      <w:r w:rsidRPr="006716E7">
        <w:rPr>
          <w:rFonts w:ascii="Arial" w:hAnsi="Arial" w:cs="Arial"/>
          <w:sz w:val="24"/>
          <w:szCs w:val="24"/>
        </w:rPr>
        <w:t xml:space="preserve">demonstrate how it will continue to work in the context of supporting the ability of all </w:t>
      </w:r>
      <w:r w:rsidR="006716E7">
        <w:rPr>
          <w:rFonts w:ascii="Arial" w:hAnsi="Arial" w:cs="Arial"/>
          <w:sz w:val="24"/>
          <w:szCs w:val="24"/>
        </w:rPr>
        <w:t>consumers</w:t>
      </w:r>
      <w:r w:rsidRPr="006716E7">
        <w:rPr>
          <w:rFonts w:ascii="Arial" w:hAnsi="Arial" w:cs="Arial"/>
          <w:sz w:val="24"/>
          <w:szCs w:val="24"/>
        </w:rPr>
        <w:t xml:space="preserve"> to access and engage with near real time energy data.</w:t>
      </w:r>
    </w:p>
    <w:p w:rsidR="007B470F" w:rsidRPr="006716E7" w:rsidRDefault="006716E7" w:rsidP="007B470F">
      <w:pPr>
        <w:numPr>
          <w:ilvl w:val="0"/>
          <w:numId w:val="33"/>
        </w:numPr>
        <w:rPr>
          <w:rFonts w:ascii="Arial" w:hAnsi="Arial" w:cs="Arial"/>
          <w:sz w:val="24"/>
          <w:szCs w:val="24"/>
        </w:rPr>
      </w:pPr>
      <w:r>
        <w:rPr>
          <w:rFonts w:ascii="Arial" w:hAnsi="Arial" w:cs="Arial"/>
          <w:sz w:val="24"/>
          <w:szCs w:val="24"/>
        </w:rPr>
        <w:t xml:space="preserve">demonstrate that it will </w:t>
      </w:r>
      <w:r w:rsidR="007B470F" w:rsidRPr="006716E7">
        <w:rPr>
          <w:rFonts w:ascii="Arial" w:hAnsi="Arial" w:cs="Arial"/>
          <w:sz w:val="24"/>
          <w:szCs w:val="24"/>
        </w:rPr>
        <w:t xml:space="preserve">not compromise the </w:t>
      </w:r>
      <w:r>
        <w:rPr>
          <w:rFonts w:ascii="Arial" w:hAnsi="Arial" w:cs="Arial"/>
          <w:sz w:val="24"/>
          <w:szCs w:val="24"/>
        </w:rPr>
        <w:t>provision of the</w:t>
      </w:r>
      <w:r w:rsidR="007B470F" w:rsidRPr="006716E7">
        <w:rPr>
          <w:rFonts w:ascii="Arial" w:hAnsi="Arial" w:cs="Arial"/>
          <w:sz w:val="24"/>
          <w:szCs w:val="24"/>
        </w:rPr>
        <w:t xml:space="preserve"> HAN. </w:t>
      </w:r>
    </w:p>
    <w:p w:rsidR="007B470F" w:rsidRPr="006716E7" w:rsidRDefault="00177D86" w:rsidP="007B470F">
      <w:pPr>
        <w:numPr>
          <w:ilvl w:val="0"/>
          <w:numId w:val="33"/>
        </w:numPr>
        <w:rPr>
          <w:rFonts w:ascii="Arial" w:hAnsi="Arial" w:cs="Arial"/>
          <w:sz w:val="24"/>
          <w:szCs w:val="24"/>
        </w:rPr>
      </w:pPr>
      <w:r>
        <w:rPr>
          <w:rFonts w:ascii="Arial" w:hAnsi="Arial" w:cs="Arial"/>
          <w:sz w:val="24"/>
          <w:szCs w:val="24"/>
        </w:rPr>
        <w:t xml:space="preserve">not compromise switching. </w:t>
      </w:r>
    </w:p>
    <w:p w:rsidR="007B470F" w:rsidRPr="006716E7" w:rsidRDefault="007B470F" w:rsidP="007B470F">
      <w:pPr>
        <w:numPr>
          <w:ilvl w:val="0"/>
          <w:numId w:val="33"/>
        </w:numPr>
        <w:rPr>
          <w:rFonts w:ascii="Arial" w:hAnsi="Arial" w:cs="Arial"/>
          <w:sz w:val="24"/>
          <w:szCs w:val="24"/>
        </w:rPr>
      </w:pPr>
      <w:r w:rsidRPr="006716E7">
        <w:rPr>
          <w:rFonts w:ascii="Arial" w:hAnsi="Arial" w:cs="Arial"/>
          <w:sz w:val="24"/>
          <w:szCs w:val="24"/>
        </w:rPr>
        <w:t>compare</w:t>
      </w:r>
      <w:r w:rsidR="00177D86">
        <w:rPr>
          <w:rFonts w:ascii="Arial" w:hAnsi="Arial" w:cs="Arial"/>
          <w:sz w:val="24"/>
          <w:szCs w:val="24"/>
        </w:rPr>
        <w:t xml:space="preserve"> the proposed alternative </w:t>
      </w:r>
      <w:r w:rsidRPr="006716E7">
        <w:rPr>
          <w:rFonts w:ascii="Arial" w:hAnsi="Arial" w:cs="Arial"/>
          <w:sz w:val="24"/>
          <w:szCs w:val="24"/>
        </w:rPr>
        <w:t>with state-of-the-art IHD</w:t>
      </w:r>
      <w:r w:rsidR="00177D86">
        <w:rPr>
          <w:rFonts w:ascii="Arial" w:hAnsi="Arial" w:cs="Arial"/>
          <w:sz w:val="24"/>
          <w:szCs w:val="24"/>
        </w:rPr>
        <w:t>s</w:t>
      </w:r>
      <w:r w:rsidRPr="006716E7">
        <w:rPr>
          <w:rFonts w:ascii="Arial" w:hAnsi="Arial" w:cs="Arial"/>
          <w:sz w:val="24"/>
          <w:szCs w:val="24"/>
        </w:rPr>
        <w:t xml:space="preserve"> at IA price</w:t>
      </w:r>
      <w:r w:rsidR="00177D86">
        <w:rPr>
          <w:rFonts w:ascii="Arial" w:hAnsi="Arial" w:cs="Arial"/>
          <w:sz w:val="24"/>
          <w:szCs w:val="24"/>
        </w:rPr>
        <w:t xml:space="preserve">, not with </w:t>
      </w:r>
      <w:r w:rsidRPr="006716E7">
        <w:rPr>
          <w:rFonts w:ascii="Arial" w:hAnsi="Arial" w:cs="Arial"/>
          <w:sz w:val="24"/>
          <w:szCs w:val="24"/>
        </w:rPr>
        <w:t>outdated or last-generation IHD</w:t>
      </w:r>
      <w:r w:rsidR="00177D86">
        <w:rPr>
          <w:rFonts w:ascii="Arial" w:hAnsi="Arial" w:cs="Arial"/>
          <w:sz w:val="24"/>
          <w:szCs w:val="24"/>
        </w:rPr>
        <w:t>s</w:t>
      </w:r>
      <w:r w:rsidR="001E4152">
        <w:rPr>
          <w:rFonts w:ascii="Arial" w:hAnsi="Arial" w:cs="Arial"/>
          <w:sz w:val="24"/>
          <w:szCs w:val="24"/>
        </w:rPr>
        <w:t>.</w:t>
      </w:r>
    </w:p>
    <w:p w:rsidR="007B470F" w:rsidRPr="006716E7" w:rsidRDefault="007B470F" w:rsidP="007B470F">
      <w:pPr>
        <w:numPr>
          <w:ilvl w:val="0"/>
          <w:numId w:val="33"/>
        </w:numPr>
        <w:rPr>
          <w:rFonts w:ascii="Arial" w:hAnsi="Arial" w:cs="Arial"/>
          <w:sz w:val="24"/>
          <w:szCs w:val="24"/>
        </w:rPr>
      </w:pPr>
      <w:r w:rsidRPr="006716E7">
        <w:rPr>
          <w:rFonts w:ascii="Arial" w:hAnsi="Arial" w:cs="Arial"/>
          <w:sz w:val="24"/>
          <w:szCs w:val="24"/>
        </w:rPr>
        <w:t>take into account the expected life span of an IHD, (current RFPs from energy suppliers typically ask for seven years)</w:t>
      </w:r>
      <w:r w:rsidR="001E4152">
        <w:rPr>
          <w:rFonts w:ascii="Arial" w:hAnsi="Arial" w:cs="Arial"/>
          <w:sz w:val="24"/>
          <w:szCs w:val="24"/>
        </w:rPr>
        <w:t xml:space="preserve">, demonstrating that the proposed alternative </w:t>
      </w:r>
      <w:r w:rsidRPr="006716E7">
        <w:rPr>
          <w:rFonts w:ascii="Arial" w:hAnsi="Arial" w:cs="Arial"/>
          <w:sz w:val="24"/>
          <w:szCs w:val="24"/>
        </w:rPr>
        <w:t xml:space="preserve">will continue to function for </w:t>
      </w:r>
      <w:r w:rsidR="001E4152">
        <w:rPr>
          <w:rFonts w:ascii="Arial" w:hAnsi="Arial" w:cs="Arial"/>
          <w:sz w:val="24"/>
          <w:szCs w:val="24"/>
        </w:rPr>
        <w:t>as</w:t>
      </w:r>
      <w:r w:rsidRPr="006716E7">
        <w:rPr>
          <w:rFonts w:ascii="Arial" w:hAnsi="Arial" w:cs="Arial"/>
          <w:sz w:val="24"/>
          <w:szCs w:val="24"/>
        </w:rPr>
        <w:t xml:space="preserve"> long and </w:t>
      </w:r>
      <w:r w:rsidR="001E4152">
        <w:rPr>
          <w:rFonts w:ascii="Arial" w:hAnsi="Arial" w:cs="Arial"/>
          <w:sz w:val="24"/>
          <w:szCs w:val="24"/>
        </w:rPr>
        <w:t xml:space="preserve">that its benefits will </w:t>
      </w:r>
      <w:r w:rsidRPr="006716E7">
        <w:rPr>
          <w:rFonts w:ascii="Arial" w:hAnsi="Arial" w:cs="Arial"/>
          <w:sz w:val="24"/>
          <w:szCs w:val="24"/>
        </w:rPr>
        <w:t xml:space="preserve">match </w:t>
      </w:r>
      <w:r w:rsidR="001E4152">
        <w:rPr>
          <w:rFonts w:ascii="Arial" w:hAnsi="Arial" w:cs="Arial"/>
          <w:sz w:val="24"/>
          <w:szCs w:val="24"/>
        </w:rPr>
        <w:t xml:space="preserve">or exceed </w:t>
      </w:r>
      <w:r w:rsidRPr="006716E7">
        <w:rPr>
          <w:rFonts w:ascii="Arial" w:hAnsi="Arial" w:cs="Arial"/>
          <w:sz w:val="24"/>
          <w:szCs w:val="24"/>
        </w:rPr>
        <w:t xml:space="preserve">the </w:t>
      </w:r>
      <w:r w:rsidR="001E4152">
        <w:rPr>
          <w:rFonts w:ascii="Arial" w:hAnsi="Arial" w:cs="Arial"/>
          <w:sz w:val="24"/>
          <w:szCs w:val="24"/>
        </w:rPr>
        <w:t>projected benefits of</w:t>
      </w:r>
      <w:r w:rsidRPr="006716E7">
        <w:rPr>
          <w:rFonts w:ascii="Arial" w:hAnsi="Arial" w:cs="Arial"/>
          <w:sz w:val="24"/>
          <w:szCs w:val="24"/>
        </w:rPr>
        <w:t xml:space="preserve"> IHD use as demonstrated in DECC’s Early Learning Project, which showed that a majority of consumers continued to use their </w:t>
      </w:r>
      <w:r w:rsidRPr="00F2260D">
        <w:rPr>
          <w:rFonts w:ascii="Arial" w:hAnsi="Arial" w:cs="Arial"/>
          <w:sz w:val="24"/>
          <w:szCs w:val="24"/>
        </w:rPr>
        <w:t xml:space="preserve">IHDs </w:t>
      </w:r>
      <w:r w:rsidR="00F2260D" w:rsidRPr="00F2260D">
        <w:rPr>
          <w:rFonts w:ascii="Arial" w:hAnsi="Arial" w:cs="Arial"/>
          <w:sz w:val="24"/>
          <w:szCs w:val="24"/>
        </w:rPr>
        <w:t>2½</w:t>
      </w:r>
      <w:r w:rsidRPr="00F2260D">
        <w:rPr>
          <w:rFonts w:ascii="Arial" w:hAnsi="Arial" w:cs="Arial"/>
          <w:sz w:val="24"/>
          <w:szCs w:val="24"/>
        </w:rPr>
        <w:t>years afte</w:t>
      </w:r>
      <w:r w:rsidR="001E4152" w:rsidRPr="00F2260D">
        <w:rPr>
          <w:rFonts w:ascii="Arial" w:hAnsi="Arial" w:cs="Arial"/>
          <w:sz w:val="24"/>
          <w:szCs w:val="24"/>
        </w:rPr>
        <w:t>r installation</w:t>
      </w:r>
      <w:r w:rsidRPr="00F2260D">
        <w:rPr>
          <w:rFonts w:ascii="Arial" w:hAnsi="Arial" w:cs="Arial"/>
          <w:sz w:val="24"/>
          <w:szCs w:val="24"/>
        </w:rPr>
        <w:t xml:space="preserve">. We suggest that DECC stipulate that the service should be provided for five or seven years at similar </w:t>
      </w:r>
      <w:r w:rsidR="001E4152" w:rsidRPr="00F2260D">
        <w:rPr>
          <w:rFonts w:ascii="Arial" w:hAnsi="Arial" w:cs="Arial"/>
          <w:sz w:val="24"/>
          <w:szCs w:val="24"/>
        </w:rPr>
        <w:t>benefits provision</w:t>
      </w:r>
      <w:r w:rsidRPr="00F2260D">
        <w:rPr>
          <w:rFonts w:ascii="Arial" w:hAnsi="Arial" w:cs="Arial"/>
          <w:sz w:val="24"/>
          <w:szCs w:val="24"/>
        </w:rPr>
        <w:t xml:space="preserve"> and cost profiles as</w:t>
      </w:r>
      <w:r w:rsidRPr="006716E7">
        <w:rPr>
          <w:rFonts w:ascii="Arial" w:hAnsi="Arial" w:cs="Arial"/>
          <w:sz w:val="24"/>
          <w:szCs w:val="24"/>
        </w:rPr>
        <w:t xml:space="preserve"> the IHD</w:t>
      </w:r>
      <w:r w:rsidR="003A728D">
        <w:rPr>
          <w:rFonts w:ascii="Arial" w:hAnsi="Arial" w:cs="Arial"/>
          <w:sz w:val="24"/>
          <w:szCs w:val="24"/>
        </w:rPr>
        <w:t xml:space="preserve"> before it is deemed to provide equivalent long-term benefit</w:t>
      </w:r>
      <w:r w:rsidRPr="006716E7">
        <w:rPr>
          <w:rFonts w:ascii="Arial" w:hAnsi="Arial" w:cs="Arial"/>
          <w:sz w:val="24"/>
          <w:szCs w:val="24"/>
        </w:rPr>
        <w:t xml:space="preserve">. </w:t>
      </w:r>
    </w:p>
    <w:p w:rsidR="007B470F" w:rsidRPr="006716E7" w:rsidRDefault="007B470F" w:rsidP="007B470F">
      <w:pPr>
        <w:numPr>
          <w:ilvl w:val="0"/>
          <w:numId w:val="33"/>
        </w:numPr>
        <w:rPr>
          <w:rFonts w:ascii="Arial" w:hAnsi="Arial" w:cs="Arial"/>
          <w:sz w:val="24"/>
          <w:szCs w:val="24"/>
        </w:rPr>
      </w:pPr>
      <w:r w:rsidRPr="006716E7">
        <w:rPr>
          <w:rFonts w:ascii="Arial" w:hAnsi="Arial" w:cs="Arial"/>
          <w:sz w:val="24"/>
          <w:szCs w:val="24"/>
        </w:rPr>
        <w:t>show how the anticipated alternative product or service will work in conditions particular to Great Britain. Trials or experiences from other countries should be given less weight, and researchers should be required to show how and why overseas experiences are relevant to the GB energy sector.</w:t>
      </w:r>
    </w:p>
    <w:p w:rsidR="007B470F" w:rsidRPr="006716E7" w:rsidRDefault="007B470F" w:rsidP="007B470F">
      <w:pPr>
        <w:rPr>
          <w:rFonts w:ascii="Arial" w:hAnsi="Arial" w:cs="Arial"/>
          <w:sz w:val="24"/>
          <w:szCs w:val="24"/>
        </w:rPr>
      </w:pPr>
    </w:p>
    <w:p w:rsidR="003A728D" w:rsidRDefault="003A728D" w:rsidP="007B470F">
      <w:pPr>
        <w:rPr>
          <w:rFonts w:ascii="Arial" w:hAnsi="Arial" w:cs="Arial"/>
          <w:sz w:val="24"/>
          <w:szCs w:val="24"/>
        </w:rPr>
      </w:pPr>
      <w:r>
        <w:rPr>
          <w:rFonts w:ascii="Arial" w:hAnsi="Arial" w:cs="Arial"/>
          <w:sz w:val="24"/>
          <w:szCs w:val="24"/>
        </w:rPr>
        <w:t xml:space="preserve">On the issue of switching, BEAMA asks the Government to consider (a) to what extent any solution (with superior benefits and lower costs) supports the practicalities of employment and rollout, and (b) how Change of Supplier would impact on its performance. It is our experience that VIHDs and smartphone applications are supported by web-service platforms specific to particular energy </w:t>
      </w:r>
      <w:r w:rsidR="001A0C63">
        <w:rPr>
          <w:rFonts w:ascii="Arial" w:hAnsi="Arial" w:cs="Arial"/>
          <w:sz w:val="24"/>
          <w:szCs w:val="24"/>
        </w:rPr>
        <w:t>suppliers</w:t>
      </w:r>
      <w:r>
        <w:rPr>
          <w:rFonts w:ascii="Arial" w:hAnsi="Arial" w:cs="Arial"/>
          <w:sz w:val="24"/>
          <w:szCs w:val="24"/>
        </w:rPr>
        <w:t xml:space="preserve">. This has implications for continuity of service through </w:t>
      </w:r>
      <w:proofErr w:type="spellStart"/>
      <w:r>
        <w:rPr>
          <w:rFonts w:ascii="Arial" w:hAnsi="Arial" w:cs="Arial"/>
          <w:sz w:val="24"/>
          <w:szCs w:val="24"/>
        </w:rPr>
        <w:t>CoS</w:t>
      </w:r>
      <w:proofErr w:type="spellEnd"/>
      <w:r>
        <w:rPr>
          <w:rFonts w:ascii="Arial" w:hAnsi="Arial" w:cs="Arial"/>
          <w:sz w:val="24"/>
          <w:szCs w:val="24"/>
        </w:rPr>
        <w:t xml:space="preserve"> that in BEAMA’s view would need to be addressed and resolved by any successful</w:t>
      </w:r>
      <w:r w:rsidR="001A0C63">
        <w:rPr>
          <w:rFonts w:ascii="Arial" w:hAnsi="Arial" w:cs="Arial"/>
          <w:sz w:val="24"/>
          <w:szCs w:val="24"/>
        </w:rPr>
        <w:t xml:space="preserve"> trial.</w:t>
      </w:r>
    </w:p>
    <w:p w:rsidR="003A728D" w:rsidRDefault="003A728D" w:rsidP="007B470F">
      <w:pPr>
        <w:rPr>
          <w:rFonts w:ascii="Arial" w:hAnsi="Arial" w:cs="Arial"/>
          <w:sz w:val="24"/>
          <w:szCs w:val="24"/>
        </w:rPr>
      </w:pPr>
    </w:p>
    <w:p w:rsidR="007B470F" w:rsidRDefault="007B470F" w:rsidP="007B470F">
      <w:pPr>
        <w:rPr>
          <w:rFonts w:ascii="Arial" w:hAnsi="Arial" w:cs="Arial"/>
          <w:sz w:val="24"/>
          <w:szCs w:val="24"/>
        </w:rPr>
      </w:pPr>
      <w:r w:rsidRPr="006716E7">
        <w:rPr>
          <w:rFonts w:ascii="Arial" w:hAnsi="Arial" w:cs="Arial"/>
          <w:sz w:val="24"/>
          <w:szCs w:val="24"/>
        </w:rPr>
        <w:t>As per section 3.7 of the Consultation, there should be no “duplication of assets”, as the supplier should not be offering any form of feedback that does not make economic and financial sense to the consumer.</w:t>
      </w:r>
    </w:p>
    <w:p w:rsidR="003A728D" w:rsidRDefault="003A728D" w:rsidP="007B470F">
      <w:pPr>
        <w:rPr>
          <w:rFonts w:ascii="Arial" w:hAnsi="Arial" w:cs="Arial"/>
          <w:sz w:val="24"/>
          <w:szCs w:val="24"/>
        </w:rPr>
      </w:pPr>
    </w:p>
    <w:p w:rsidR="003A728D" w:rsidRPr="006716E7" w:rsidRDefault="003A728D" w:rsidP="007B470F">
      <w:pPr>
        <w:rPr>
          <w:rFonts w:ascii="Arial" w:hAnsi="Arial" w:cs="Arial"/>
          <w:sz w:val="24"/>
          <w:szCs w:val="24"/>
        </w:rPr>
      </w:pPr>
      <w:r>
        <w:rPr>
          <w:rFonts w:ascii="Arial" w:hAnsi="Arial" w:cs="Arial"/>
          <w:sz w:val="24"/>
          <w:szCs w:val="24"/>
        </w:rPr>
        <w:t>Finally, a</w:t>
      </w:r>
      <w:r w:rsidRPr="003A728D">
        <w:rPr>
          <w:rFonts w:ascii="Arial" w:hAnsi="Arial" w:cs="Arial"/>
          <w:sz w:val="24"/>
          <w:szCs w:val="24"/>
        </w:rPr>
        <w:t>ny solution being trialled must provide customers with information that enable customers to make changes to their consumption habits over time without having to use other services from the suppliers or associated companies.</w:t>
      </w:r>
      <w:r>
        <w:rPr>
          <w:rFonts w:ascii="Arial" w:hAnsi="Arial" w:cs="Arial"/>
          <w:sz w:val="24"/>
          <w:szCs w:val="24"/>
        </w:rPr>
        <w:t xml:space="preserve"> As per the discussion of the Home Area Network, above, the BEAMA Connected Homes Group has provided more detail on this point and on the recommendation that no policy be enacted that would jeopardise the provision of a HAN.</w:t>
      </w:r>
    </w:p>
    <w:p w:rsidR="007B470F" w:rsidRPr="007B470F" w:rsidRDefault="007B470F" w:rsidP="007B470F">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Do you agree that we should require in Licence Conditions all derogation applications to be submitted to the Secretary of State by the end of January 2017?</w:t>
      </w:r>
    </w:p>
    <w:p w:rsidR="001E4152" w:rsidRDefault="001E4152" w:rsidP="007B470F">
      <w:pPr>
        <w:rPr>
          <w:rFonts w:ascii="Arial" w:hAnsi="Arial" w:cs="Arial"/>
          <w:sz w:val="24"/>
          <w:szCs w:val="24"/>
        </w:rPr>
      </w:pPr>
    </w:p>
    <w:p w:rsidR="007B470F" w:rsidRPr="001E4152" w:rsidRDefault="007B470F" w:rsidP="007B470F">
      <w:pPr>
        <w:rPr>
          <w:rFonts w:ascii="Arial" w:hAnsi="Arial" w:cs="Arial"/>
          <w:sz w:val="24"/>
          <w:szCs w:val="24"/>
        </w:rPr>
      </w:pPr>
      <w:r w:rsidRPr="001E4152">
        <w:rPr>
          <w:rFonts w:ascii="Arial" w:hAnsi="Arial" w:cs="Arial"/>
          <w:sz w:val="24"/>
          <w:szCs w:val="24"/>
        </w:rPr>
        <w:t xml:space="preserve">Yes. This issue should be resolved as soon as is practicable so that industry stakeholders involved in developing and providing the products and services that will give consumers control over their energy use and support the upgrade of Britain’s energy infrastructure have the market and consumer confidence in which to operate. However, this should not be interpreted as a need for a decision to be made before robust evidence is in. Ideally, trails would be done in Great Britain and they would be up to date, taking account of recent changes in the way energy is used; i.e. the evidence offered in support of an alternative to an IHD should be gathered in only those trials allowed by the Licence Condition amendments under consideration in this consultation; evidence from trials pre-2015, or from the experience of companies operating in countries where there is no IHD mandate </w:t>
      </w:r>
      <w:r w:rsidR="001E4152">
        <w:rPr>
          <w:rFonts w:ascii="Arial" w:hAnsi="Arial" w:cs="Arial"/>
          <w:sz w:val="24"/>
          <w:szCs w:val="24"/>
        </w:rPr>
        <w:t>should</w:t>
      </w:r>
      <w:r w:rsidRPr="001E4152">
        <w:rPr>
          <w:rFonts w:ascii="Arial" w:hAnsi="Arial" w:cs="Arial"/>
          <w:sz w:val="24"/>
          <w:szCs w:val="24"/>
        </w:rPr>
        <w:t xml:space="preserve"> not be admitted.</w:t>
      </w:r>
    </w:p>
    <w:p w:rsidR="003A728D" w:rsidRPr="007B470F" w:rsidRDefault="003A728D" w:rsidP="007B470F">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Do you agree that suppliers should be required to offer those customers on a trial an IHD as an either/or with their alternative engagement tool at the end of the trial?</w:t>
      </w:r>
    </w:p>
    <w:p w:rsidR="007B470F" w:rsidRPr="007B470F" w:rsidRDefault="007B470F" w:rsidP="007B470F">
      <w:pPr>
        <w:rPr>
          <w:rFonts w:ascii="Arial" w:hAnsi="Arial" w:cs="Arial"/>
          <w:b/>
          <w:sz w:val="24"/>
          <w:szCs w:val="24"/>
        </w:rPr>
      </w:pPr>
    </w:p>
    <w:p w:rsidR="007B470F" w:rsidRPr="001E4152" w:rsidRDefault="007B470F" w:rsidP="007B470F">
      <w:pPr>
        <w:rPr>
          <w:rFonts w:ascii="Arial" w:hAnsi="Arial" w:cs="Arial"/>
          <w:sz w:val="24"/>
          <w:szCs w:val="24"/>
        </w:rPr>
      </w:pPr>
      <w:r w:rsidRPr="001E4152">
        <w:rPr>
          <w:rFonts w:ascii="Arial" w:hAnsi="Arial" w:cs="Arial"/>
          <w:sz w:val="24"/>
          <w:szCs w:val="24"/>
        </w:rPr>
        <w:t>At the end of the trial, the supplier should be required to offer those customers on a trial an IHD just as if they were new customers. If the IHD is not accepted by the customer, the supplier could be permitted to offer an alternative as per existing licence conditions.</w:t>
      </w:r>
    </w:p>
    <w:p w:rsidR="007B470F" w:rsidRPr="007B470F" w:rsidRDefault="007B470F" w:rsidP="007B470F">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Do you have views on whether the current Licence Conditions giving consumers 12 months to change their mind on taking up an IHD should apply from the point of the IHD offer for trial participants?</w:t>
      </w:r>
    </w:p>
    <w:p w:rsidR="007B470F" w:rsidRPr="007B470F" w:rsidRDefault="007B470F" w:rsidP="007B470F">
      <w:pPr>
        <w:rPr>
          <w:rFonts w:ascii="Arial" w:hAnsi="Arial" w:cs="Arial"/>
          <w:b/>
          <w:sz w:val="24"/>
          <w:szCs w:val="24"/>
        </w:rPr>
      </w:pPr>
    </w:p>
    <w:p w:rsidR="007B470F" w:rsidRPr="001E4152" w:rsidRDefault="007B470F" w:rsidP="007B470F">
      <w:pPr>
        <w:rPr>
          <w:rFonts w:ascii="Arial" w:hAnsi="Arial" w:cs="Arial"/>
          <w:sz w:val="24"/>
          <w:szCs w:val="24"/>
        </w:rPr>
      </w:pPr>
      <w:r w:rsidRPr="001E4152">
        <w:rPr>
          <w:rFonts w:ascii="Arial" w:hAnsi="Arial" w:cs="Arial"/>
          <w:sz w:val="24"/>
          <w:szCs w:val="24"/>
        </w:rPr>
        <w:t>We agree with this proposal</w:t>
      </w:r>
      <w:r w:rsidR="0078399C">
        <w:rPr>
          <w:rFonts w:ascii="Arial" w:hAnsi="Arial" w:cs="Arial"/>
          <w:sz w:val="24"/>
          <w:szCs w:val="24"/>
        </w:rPr>
        <w:t>.</w:t>
      </w:r>
    </w:p>
    <w:p w:rsidR="007B470F" w:rsidRPr="007B470F" w:rsidRDefault="007B470F" w:rsidP="007B470F">
      <w:pPr>
        <w:rPr>
          <w:rFonts w:ascii="Arial" w:hAnsi="Arial" w:cs="Arial"/>
          <w:b/>
          <w:sz w:val="24"/>
          <w:szCs w:val="24"/>
        </w:rPr>
      </w:pPr>
    </w:p>
    <w:p w:rsidR="007B470F" w:rsidRPr="007B470F" w:rsidRDefault="007B470F" w:rsidP="007B470F">
      <w:pPr>
        <w:numPr>
          <w:ilvl w:val="0"/>
          <w:numId w:val="32"/>
        </w:numPr>
        <w:rPr>
          <w:rFonts w:ascii="Arial" w:hAnsi="Arial" w:cs="Arial"/>
          <w:b/>
          <w:sz w:val="24"/>
          <w:szCs w:val="24"/>
        </w:rPr>
      </w:pPr>
      <w:r w:rsidRPr="007B470F">
        <w:rPr>
          <w:rFonts w:ascii="Arial" w:hAnsi="Arial" w:cs="Arial"/>
          <w:b/>
          <w:sz w:val="24"/>
          <w:szCs w:val="24"/>
        </w:rPr>
        <w:t>Do you have any comments on the proposed legal drafting introducing new Licence Conditions at Annex 2?</w:t>
      </w:r>
    </w:p>
    <w:p w:rsidR="007B470F" w:rsidRPr="007B470F" w:rsidRDefault="007B470F" w:rsidP="007B470F">
      <w:pPr>
        <w:rPr>
          <w:rFonts w:ascii="Arial" w:hAnsi="Arial" w:cs="Arial"/>
          <w:b/>
          <w:sz w:val="24"/>
          <w:szCs w:val="24"/>
        </w:rPr>
      </w:pPr>
    </w:p>
    <w:p w:rsidR="00F91815" w:rsidRDefault="00692740" w:rsidP="00193948">
      <w:pPr>
        <w:rPr>
          <w:rFonts w:ascii="Arial" w:hAnsi="Arial" w:cs="Arial"/>
          <w:sz w:val="24"/>
          <w:szCs w:val="24"/>
          <w:lang w:val="en-US"/>
        </w:rPr>
      </w:pPr>
      <w:r>
        <w:rPr>
          <w:rFonts w:ascii="Arial" w:hAnsi="Arial" w:cs="Arial"/>
          <w:sz w:val="24"/>
          <w:szCs w:val="24"/>
          <w:lang w:val="en-US"/>
        </w:rPr>
        <w:t>No.</w:t>
      </w:r>
    </w:p>
    <w:p w:rsidR="001E4152" w:rsidRDefault="001E4152" w:rsidP="00193948">
      <w:pPr>
        <w:rPr>
          <w:rFonts w:ascii="Arial" w:hAnsi="Arial" w:cs="Arial"/>
          <w:sz w:val="24"/>
          <w:szCs w:val="24"/>
          <w:lang w:val="en-US"/>
        </w:rPr>
      </w:pPr>
    </w:p>
    <w:p w:rsidR="00FC4D7B" w:rsidRDefault="00D313F4" w:rsidP="00193948">
      <w:pPr>
        <w:rPr>
          <w:rFonts w:ascii="Arial" w:hAnsi="Arial" w:cs="Arial"/>
          <w:sz w:val="24"/>
          <w:szCs w:val="24"/>
        </w:rPr>
      </w:pPr>
      <w:r w:rsidRPr="00D313F4">
        <w:rPr>
          <w:rFonts w:ascii="Arial" w:hAnsi="Arial" w:cs="Arial"/>
          <w:b/>
          <w:sz w:val="24"/>
          <w:szCs w:val="24"/>
          <w:u w:val="single"/>
        </w:rPr>
        <w:t>Annex 1: Membership of BEAMA Consumer Energy Display Industry Group</w:t>
      </w:r>
    </w:p>
    <w:p w:rsidR="00D313F4" w:rsidRDefault="00D313F4" w:rsidP="00193948">
      <w:pPr>
        <w:rPr>
          <w:rFonts w:ascii="Arial" w:hAnsi="Arial" w:cs="Arial"/>
          <w:sz w:val="24"/>
          <w:szCs w:val="24"/>
        </w:rPr>
      </w:pPr>
    </w:p>
    <w:p w:rsidR="00D313F4" w:rsidRDefault="00D313F4" w:rsidP="00193948">
      <w:pPr>
        <w:rPr>
          <w:rFonts w:ascii="Arial" w:hAnsi="Arial" w:cs="Arial"/>
          <w:sz w:val="24"/>
          <w:szCs w:val="24"/>
        </w:rPr>
      </w:pPr>
      <w:r>
        <w:rPr>
          <w:rFonts w:ascii="Arial" w:hAnsi="Arial" w:cs="Arial"/>
          <w:sz w:val="24"/>
          <w:szCs w:val="24"/>
        </w:rPr>
        <w:t xml:space="preserve">Chameleon Technology (UK) </w:t>
      </w:r>
    </w:p>
    <w:p w:rsidR="00D313F4" w:rsidRDefault="00D313F4" w:rsidP="00193948">
      <w:pPr>
        <w:rPr>
          <w:rFonts w:ascii="Arial" w:hAnsi="Arial" w:cs="Arial"/>
          <w:sz w:val="24"/>
          <w:szCs w:val="24"/>
        </w:rPr>
      </w:pPr>
      <w:proofErr w:type="spellStart"/>
      <w:r>
        <w:rPr>
          <w:rFonts w:ascii="Arial" w:hAnsi="Arial" w:cs="Arial"/>
          <w:sz w:val="24"/>
          <w:szCs w:val="24"/>
        </w:rPr>
        <w:t>Efergy</w:t>
      </w:r>
      <w:proofErr w:type="spellEnd"/>
    </w:p>
    <w:p w:rsidR="00D313F4" w:rsidRDefault="00D313F4" w:rsidP="00193948">
      <w:pPr>
        <w:rPr>
          <w:rFonts w:ascii="Arial" w:hAnsi="Arial" w:cs="Arial"/>
          <w:sz w:val="24"/>
          <w:szCs w:val="24"/>
        </w:rPr>
      </w:pPr>
      <w:r>
        <w:rPr>
          <w:rFonts w:ascii="Arial" w:hAnsi="Arial" w:cs="Arial"/>
          <w:sz w:val="24"/>
          <w:szCs w:val="24"/>
        </w:rPr>
        <w:t>Green Energy Options</w:t>
      </w:r>
    </w:p>
    <w:p w:rsidR="00D313F4" w:rsidRDefault="00D313F4" w:rsidP="00193948">
      <w:pPr>
        <w:rPr>
          <w:rFonts w:ascii="Arial" w:hAnsi="Arial" w:cs="Arial"/>
          <w:sz w:val="24"/>
          <w:szCs w:val="24"/>
        </w:rPr>
      </w:pPr>
      <w:r>
        <w:rPr>
          <w:rFonts w:ascii="Arial" w:hAnsi="Arial" w:cs="Arial"/>
          <w:sz w:val="24"/>
          <w:szCs w:val="24"/>
        </w:rPr>
        <w:t>In-Home Displays</w:t>
      </w:r>
    </w:p>
    <w:p w:rsidR="00D313F4" w:rsidRDefault="00D313F4" w:rsidP="00193948">
      <w:pPr>
        <w:rPr>
          <w:rFonts w:ascii="Arial" w:hAnsi="Arial" w:cs="Arial"/>
          <w:sz w:val="24"/>
          <w:szCs w:val="24"/>
        </w:rPr>
      </w:pPr>
      <w:r w:rsidRPr="00D313F4">
        <w:rPr>
          <w:rFonts w:ascii="Arial" w:hAnsi="Arial" w:cs="Arial"/>
          <w:sz w:val="24"/>
          <w:szCs w:val="24"/>
        </w:rPr>
        <w:t>Secure</w:t>
      </w:r>
      <w:r>
        <w:rPr>
          <w:rFonts w:ascii="Arial" w:hAnsi="Arial" w:cs="Arial"/>
          <w:sz w:val="24"/>
          <w:szCs w:val="24"/>
        </w:rPr>
        <w:t xml:space="preserve"> Meters (UK)</w:t>
      </w:r>
    </w:p>
    <w:p w:rsidR="00D313F4" w:rsidRDefault="00D313F4" w:rsidP="00193948">
      <w:pPr>
        <w:rPr>
          <w:rFonts w:ascii="Arial" w:hAnsi="Arial" w:cs="Arial"/>
          <w:sz w:val="24"/>
          <w:szCs w:val="24"/>
        </w:rPr>
      </w:pPr>
      <w:r>
        <w:rPr>
          <w:rFonts w:ascii="Arial" w:hAnsi="Arial" w:cs="Arial"/>
          <w:b/>
          <w:sz w:val="24"/>
          <w:szCs w:val="24"/>
          <w:u w:val="single"/>
        </w:rPr>
        <w:t>Annex 2: Membership of BEAMA Connected Homes Group</w:t>
      </w:r>
    </w:p>
    <w:p w:rsidR="00D313F4" w:rsidRDefault="00D313F4" w:rsidP="00193948">
      <w:pPr>
        <w:rPr>
          <w:rFonts w:ascii="Arial" w:hAnsi="Arial" w:cs="Arial"/>
          <w:sz w:val="24"/>
          <w:szCs w:val="24"/>
        </w:rPr>
      </w:pPr>
    </w:p>
    <w:tbl>
      <w:tblPr>
        <w:tblW w:w="5388" w:type="dxa"/>
        <w:tblLook w:val="04A0" w:firstRow="1" w:lastRow="0" w:firstColumn="1" w:lastColumn="0" w:noHBand="0" w:noVBand="1"/>
      </w:tblPr>
      <w:tblGrid>
        <w:gridCol w:w="5388"/>
      </w:tblGrid>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Cable Management Group</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Chameleon Technology (UK</w:t>
            </w:r>
            <w:r>
              <w:rPr>
                <w:rFonts w:ascii="Arial" w:hAnsi="Arial" w:cs="Arial"/>
                <w:sz w:val="24"/>
                <w:szCs w:val="24"/>
              </w:rPr>
              <w:t xml:space="preserve">)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Pr>
                <w:rFonts w:ascii="Arial" w:hAnsi="Arial" w:cs="Arial"/>
                <w:sz w:val="24"/>
                <w:szCs w:val="24"/>
              </w:rPr>
              <w:t xml:space="preserve">Cooper </w:t>
            </w:r>
            <w:proofErr w:type="spellStart"/>
            <w:r>
              <w:rPr>
                <w:rFonts w:ascii="Arial" w:hAnsi="Arial" w:cs="Arial"/>
                <w:sz w:val="24"/>
                <w:szCs w:val="24"/>
              </w:rPr>
              <w:t>Bussmann</w:t>
            </w:r>
            <w:proofErr w:type="spellEnd"/>
            <w:r>
              <w:rPr>
                <w:rFonts w:ascii="Arial" w:hAnsi="Arial" w:cs="Arial"/>
                <w:sz w:val="24"/>
                <w:szCs w:val="24"/>
              </w:rPr>
              <w:t xml:space="preserve"> (UK)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Daikin</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Drayton Controls</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 xml:space="preserve">EDMI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proofErr w:type="spellStart"/>
            <w:r w:rsidRPr="00D313F4">
              <w:rPr>
                <w:rFonts w:ascii="Arial" w:hAnsi="Arial" w:cs="Arial"/>
                <w:sz w:val="24"/>
                <w:szCs w:val="24"/>
              </w:rPr>
              <w:t>Elster</w:t>
            </w:r>
            <w:proofErr w:type="spellEnd"/>
            <w:r w:rsidRPr="00D313F4">
              <w:rPr>
                <w:rFonts w:ascii="Arial" w:hAnsi="Arial" w:cs="Arial"/>
                <w:sz w:val="24"/>
                <w:szCs w:val="24"/>
              </w:rPr>
              <w:t xml:space="preserve"> Metering Systems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Green Energy Options (GEO)</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D313F4">
            <w:pPr>
              <w:rPr>
                <w:rFonts w:ascii="Arial" w:hAnsi="Arial" w:cs="Arial"/>
                <w:sz w:val="24"/>
                <w:szCs w:val="24"/>
              </w:rPr>
            </w:pPr>
            <w:r w:rsidRPr="00D313F4">
              <w:rPr>
                <w:rFonts w:ascii="Arial" w:hAnsi="Arial" w:cs="Arial"/>
                <w:sz w:val="24"/>
                <w:szCs w:val="24"/>
              </w:rPr>
              <w:t xml:space="preserve">Hager Engineering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proofErr w:type="spellStart"/>
            <w:r w:rsidRPr="00D313F4">
              <w:rPr>
                <w:rFonts w:ascii="Arial" w:hAnsi="Arial" w:cs="Arial"/>
                <w:sz w:val="24"/>
                <w:szCs w:val="24"/>
              </w:rPr>
              <w:t>Heatrae</w:t>
            </w:r>
            <w:proofErr w:type="spellEnd"/>
            <w:r w:rsidRPr="00D313F4">
              <w:rPr>
                <w:rFonts w:ascii="Arial" w:hAnsi="Arial" w:cs="Arial"/>
                <w:sz w:val="24"/>
                <w:szCs w:val="24"/>
              </w:rPr>
              <w:t xml:space="preserve"> </w:t>
            </w:r>
            <w:proofErr w:type="spellStart"/>
            <w:r w:rsidRPr="00D313F4">
              <w:rPr>
                <w:rFonts w:ascii="Arial" w:hAnsi="Arial" w:cs="Arial"/>
                <w:sz w:val="24"/>
                <w:szCs w:val="24"/>
              </w:rPr>
              <w:t>Sadia</w:t>
            </w:r>
            <w:proofErr w:type="spellEnd"/>
            <w:r w:rsidRPr="00D313F4">
              <w:rPr>
                <w:rFonts w:ascii="Arial" w:hAnsi="Arial" w:cs="Arial"/>
                <w:sz w:val="24"/>
                <w:szCs w:val="24"/>
              </w:rPr>
              <w:t xml:space="preserve"> Heating</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Honeywell ACS Control Products</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Pr>
                <w:rFonts w:ascii="Arial" w:hAnsi="Arial" w:cs="Arial"/>
                <w:sz w:val="24"/>
                <w:szCs w:val="24"/>
              </w:rPr>
              <w:t>Secure Controls (UK)</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D313F4">
            <w:pPr>
              <w:rPr>
                <w:rFonts w:ascii="Arial" w:hAnsi="Arial" w:cs="Arial"/>
                <w:sz w:val="24"/>
                <w:szCs w:val="24"/>
              </w:rPr>
            </w:pPr>
            <w:r w:rsidRPr="00D313F4">
              <w:rPr>
                <w:rFonts w:ascii="Arial" w:hAnsi="Arial" w:cs="Arial"/>
                <w:sz w:val="24"/>
                <w:szCs w:val="24"/>
              </w:rPr>
              <w:t xml:space="preserve">In Home Displays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proofErr w:type="spellStart"/>
            <w:r w:rsidRPr="00D313F4">
              <w:rPr>
                <w:rFonts w:ascii="Arial" w:hAnsi="Arial" w:cs="Arial"/>
                <w:sz w:val="24"/>
                <w:szCs w:val="24"/>
              </w:rPr>
              <w:t>Itron</w:t>
            </w:r>
            <w:proofErr w:type="spellEnd"/>
            <w:r w:rsidRPr="00D313F4">
              <w:rPr>
                <w:rFonts w:ascii="Arial" w:hAnsi="Arial" w:cs="Arial"/>
                <w:sz w:val="24"/>
                <w:szCs w:val="24"/>
              </w:rPr>
              <w:t xml:space="preserve"> </w:t>
            </w:r>
            <w:r>
              <w:rPr>
                <w:rFonts w:ascii="Arial" w:hAnsi="Arial" w:cs="Arial"/>
                <w:sz w:val="24"/>
                <w:szCs w:val="24"/>
              </w:rPr>
              <w:t>(</w:t>
            </w:r>
            <w:r w:rsidRPr="00D313F4">
              <w:rPr>
                <w:rFonts w:ascii="Arial" w:hAnsi="Arial" w:cs="Arial"/>
                <w:sz w:val="24"/>
                <w:szCs w:val="24"/>
              </w:rPr>
              <w:t>UK</w:t>
            </w:r>
            <w:r>
              <w:rPr>
                <w:rFonts w:ascii="Arial" w:hAnsi="Arial" w:cs="Arial"/>
                <w:sz w:val="24"/>
                <w:szCs w:val="24"/>
              </w:rPr>
              <w:t>)</w:t>
            </w:r>
            <w:r w:rsidRPr="00D313F4">
              <w:rPr>
                <w:rFonts w:ascii="Arial" w:hAnsi="Arial" w:cs="Arial"/>
                <w:sz w:val="24"/>
                <w:szCs w:val="24"/>
              </w:rPr>
              <w:t xml:space="preserve">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proofErr w:type="spellStart"/>
            <w:r w:rsidRPr="00D313F4">
              <w:rPr>
                <w:rFonts w:ascii="Arial" w:hAnsi="Arial" w:cs="Arial"/>
                <w:sz w:val="24"/>
                <w:szCs w:val="24"/>
              </w:rPr>
              <w:t>Legrand</w:t>
            </w:r>
            <w:proofErr w:type="spellEnd"/>
            <w:r w:rsidRPr="00D313F4">
              <w:rPr>
                <w:rFonts w:ascii="Arial" w:hAnsi="Arial" w:cs="Arial"/>
                <w:sz w:val="24"/>
                <w:szCs w:val="24"/>
              </w:rPr>
              <w:t xml:space="preserve"> Electric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Pegler Yorkshire Group Limited</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 xml:space="preserve">Schneider Electric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proofErr w:type="spellStart"/>
            <w:r w:rsidRPr="00D313F4">
              <w:rPr>
                <w:rFonts w:ascii="Arial" w:hAnsi="Arial" w:cs="Arial"/>
                <w:sz w:val="24"/>
                <w:szCs w:val="24"/>
              </w:rPr>
              <w:t>Sentec</w:t>
            </w:r>
            <w:proofErr w:type="spellEnd"/>
            <w:r w:rsidRPr="00D313F4">
              <w:rPr>
                <w:rFonts w:ascii="Arial" w:hAnsi="Arial" w:cs="Arial"/>
                <w:sz w:val="24"/>
                <w:szCs w:val="24"/>
              </w:rPr>
              <w:t xml:space="preserve">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proofErr w:type="spellStart"/>
            <w:r w:rsidRPr="00D313F4">
              <w:rPr>
                <w:rFonts w:ascii="Arial" w:hAnsi="Arial" w:cs="Arial"/>
                <w:sz w:val="24"/>
                <w:szCs w:val="24"/>
              </w:rPr>
              <w:t>Vaillant</w:t>
            </w:r>
            <w:proofErr w:type="spellEnd"/>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 xml:space="preserve">Eaton Electric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Honeywell ACS Control Products</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MK Electric</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 xml:space="preserve">Siemens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GDC Group</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proofErr w:type="spellStart"/>
            <w:r w:rsidRPr="00D313F4">
              <w:rPr>
                <w:rFonts w:ascii="Arial" w:hAnsi="Arial" w:cs="Arial"/>
                <w:sz w:val="24"/>
                <w:szCs w:val="24"/>
              </w:rPr>
              <w:t>Climote</w:t>
            </w:r>
            <w:proofErr w:type="spellEnd"/>
            <w:r w:rsidRPr="00D313F4">
              <w:rPr>
                <w:rFonts w:ascii="Arial" w:hAnsi="Arial" w:cs="Arial"/>
                <w:sz w:val="24"/>
                <w:szCs w:val="24"/>
              </w:rPr>
              <w:t xml:space="preserve"> </w:t>
            </w:r>
          </w:p>
        </w:tc>
      </w:tr>
      <w:tr w:rsidR="00D313F4" w:rsidRPr="00D313F4" w:rsidTr="00546C88">
        <w:trPr>
          <w:trHeight w:val="255"/>
        </w:trPr>
        <w:tc>
          <w:tcPr>
            <w:tcW w:w="5388" w:type="dxa"/>
            <w:tcBorders>
              <w:top w:val="nil"/>
              <w:left w:val="nil"/>
              <w:bottom w:val="nil"/>
              <w:right w:val="nil"/>
            </w:tcBorders>
            <w:shd w:val="clear" w:color="auto" w:fill="auto"/>
            <w:noWrap/>
            <w:vAlign w:val="bottom"/>
            <w:hideMark/>
          </w:tcPr>
          <w:p w:rsidR="00D313F4" w:rsidRPr="00D313F4" w:rsidRDefault="00D313F4" w:rsidP="00546C88">
            <w:pPr>
              <w:rPr>
                <w:rFonts w:ascii="Arial" w:hAnsi="Arial" w:cs="Arial"/>
                <w:sz w:val="24"/>
                <w:szCs w:val="24"/>
              </w:rPr>
            </w:pPr>
            <w:r w:rsidRPr="00D313F4">
              <w:rPr>
                <w:rFonts w:ascii="Arial" w:hAnsi="Arial" w:cs="Arial"/>
                <w:sz w:val="24"/>
                <w:szCs w:val="24"/>
              </w:rPr>
              <w:t xml:space="preserve">Smart Buildings </w:t>
            </w:r>
          </w:p>
        </w:tc>
      </w:tr>
    </w:tbl>
    <w:p w:rsidR="00D313F4" w:rsidRPr="00D313F4" w:rsidRDefault="00D313F4" w:rsidP="00193948">
      <w:pPr>
        <w:rPr>
          <w:rFonts w:ascii="Arial" w:hAnsi="Arial" w:cs="Arial"/>
          <w:sz w:val="24"/>
          <w:szCs w:val="24"/>
          <w:u w:val="single"/>
        </w:rPr>
      </w:pPr>
    </w:p>
    <w:sectPr w:rsidR="00D313F4" w:rsidRPr="00D313F4" w:rsidSect="0022799A">
      <w:headerReference w:type="default" r:id="rId11"/>
      <w:pgSz w:w="11906" w:h="16838"/>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5C9" w:rsidRDefault="00AB45C9">
      <w:r>
        <w:separator/>
      </w:r>
    </w:p>
  </w:endnote>
  <w:endnote w:type="continuationSeparator" w:id="0">
    <w:p w:rsidR="00AB45C9" w:rsidRDefault="00AB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altName w:val="Times New Roman"/>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5C9" w:rsidRDefault="00AB45C9">
      <w:r>
        <w:separator/>
      </w:r>
    </w:p>
  </w:footnote>
  <w:footnote w:type="continuationSeparator" w:id="0">
    <w:p w:rsidR="00AB45C9" w:rsidRDefault="00AB4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B1" w:rsidRDefault="00193948" w:rsidP="00547BC0">
    <w:pPr>
      <w:pStyle w:val="Header"/>
      <w:tabs>
        <w:tab w:val="clear" w:pos="9026"/>
        <w:tab w:val="left" w:pos="8055"/>
        <w:tab w:val="right" w:pos="9639"/>
      </w:tabs>
    </w:pPr>
    <w:r>
      <w:rPr>
        <w:rFonts w:ascii="Museo 300" w:hAnsi="Museo 300"/>
        <w:noProof/>
        <w:color w:val="0000FF"/>
        <w:lang w:eastAsia="en-GB"/>
      </w:rPr>
      <w:drawing>
        <wp:inline distT="0" distB="0" distL="0" distR="0" wp14:anchorId="6793A528" wp14:editId="37D0B34E">
          <wp:extent cx="1739713" cy="514350"/>
          <wp:effectExtent l="0" t="0" r="0" b="0"/>
          <wp:docPr id="2" name="Picture 2" descr="beama logo for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ma logo for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713" cy="514350"/>
                  </a:xfrm>
                  <a:prstGeom prst="rect">
                    <a:avLst/>
                  </a:prstGeom>
                  <a:noFill/>
                  <a:ln>
                    <a:noFill/>
                  </a:ln>
                </pic:spPr>
              </pic:pic>
            </a:graphicData>
          </a:graphic>
        </wp:inline>
      </w:drawing>
    </w:r>
    <w:r w:rsidR="00A010B1">
      <w:tab/>
    </w:r>
    <w:r w:rsidR="00AD3EE3">
      <w:t xml:space="preserve"> </w:t>
    </w:r>
    <w:r w:rsidR="00A010B1">
      <w:tab/>
    </w:r>
    <w:r w:rsidR="00A010B1">
      <w:tab/>
    </w:r>
  </w:p>
  <w:p w:rsidR="00A010B1" w:rsidRDefault="00A01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C7F"/>
    <w:multiLevelType w:val="hybridMultilevel"/>
    <w:tmpl w:val="E09C6050"/>
    <w:lvl w:ilvl="0" w:tplc="C65AE006">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49209AC"/>
    <w:multiLevelType w:val="hybridMultilevel"/>
    <w:tmpl w:val="D0D29CB8"/>
    <w:lvl w:ilvl="0" w:tplc="6D6E74B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5438B"/>
    <w:multiLevelType w:val="hybridMultilevel"/>
    <w:tmpl w:val="C41CE8B6"/>
    <w:lvl w:ilvl="0" w:tplc="30964170">
      <w:start w:val="5"/>
      <w:numFmt w:val="bullet"/>
      <w:lvlText w:val="-"/>
      <w:lvlJc w:val="left"/>
      <w:pPr>
        <w:ind w:left="2295" w:hanging="360"/>
      </w:pPr>
      <w:rPr>
        <w:rFonts w:ascii="Calibri" w:eastAsia="Times New Roman" w:hAnsi="Calibri" w:cs="Calibri"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3">
    <w:nsid w:val="112917F7"/>
    <w:multiLevelType w:val="hybridMultilevel"/>
    <w:tmpl w:val="1AE8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B357CE"/>
    <w:multiLevelType w:val="hybridMultilevel"/>
    <w:tmpl w:val="D6DAFD00"/>
    <w:lvl w:ilvl="0" w:tplc="FB604704">
      <w:start w:val="2"/>
      <w:numFmt w:val="bullet"/>
      <w:lvlText w:val="-"/>
      <w:lvlJc w:val="left"/>
      <w:pPr>
        <w:ind w:left="675" w:hanging="360"/>
      </w:pPr>
      <w:rPr>
        <w:rFonts w:ascii="Calibri" w:eastAsia="Times New Roman" w:hAnsi="Calibri" w:cs="Calibri"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5">
    <w:nsid w:val="15B60970"/>
    <w:multiLevelType w:val="hybridMultilevel"/>
    <w:tmpl w:val="9768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352622"/>
    <w:multiLevelType w:val="hybridMultilevel"/>
    <w:tmpl w:val="57C6A06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18552F20"/>
    <w:multiLevelType w:val="hybridMultilevel"/>
    <w:tmpl w:val="16E80314"/>
    <w:lvl w:ilvl="0" w:tplc="6D6E74B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8B38B5"/>
    <w:multiLevelType w:val="hybridMultilevel"/>
    <w:tmpl w:val="80CEF5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A154D63"/>
    <w:multiLevelType w:val="hybridMultilevel"/>
    <w:tmpl w:val="4E88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6127C2"/>
    <w:multiLevelType w:val="hybridMultilevel"/>
    <w:tmpl w:val="D7D8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0109DF"/>
    <w:multiLevelType w:val="hybridMultilevel"/>
    <w:tmpl w:val="E694681C"/>
    <w:lvl w:ilvl="0" w:tplc="6CCE7C8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C6660B"/>
    <w:multiLevelType w:val="hybridMultilevel"/>
    <w:tmpl w:val="DB9EC436"/>
    <w:lvl w:ilvl="0" w:tplc="F140B0EC">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B27E14"/>
    <w:multiLevelType w:val="hybridMultilevel"/>
    <w:tmpl w:val="6CB24E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836CAF"/>
    <w:multiLevelType w:val="hybridMultilevel"/>
    <w:tmpl w:val="9866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F20610"/>
    <w:multiLevelType w:val="hybridMultilevel"/>
    <w:tmpl w:val="E684E006"/>
    <w:lvl w:ilvl="0" w:tplc="30964170">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48243E"/>
    <w:multiLevelType w:val="hybridMultilevel"/>
    <w:tmpl w:val="4B7C3B50"/>
    <w:lvl w:ilvl="0" w:tplc="30964170">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495" w:hanging="360"/>
      </w:pPr>
      <w:rPr>
        <w:rFonts w:ascii="Courier New" w:hAnsi="Courier New" w:cs="Courier New" w:hint="default"/>
      </w:rPr>
    </w:lvl>
    <w:lvl w:ilvl="2" w:tplc="08090005" w:tentative="1">
      <w:start w:val="1"/>
      <w:numFmt w:val="bullet"/>
      <w:lvlText w:val=""/>
      <w:lvlJc w:val="left"/>
      <w:pPr>
        <w:ind w:left="225" w:hanging="360"/>
      </w:pPr>
      <w:rPr>
        <w:rFonts w:ascii="Wingdings" w:hAnsi="Wingdings" w:hint="default"/>
      </w:rPr>
    </w:lvl>
    <w:lvl w:ilvl="3" w:tplc="08090001" w:tentative="1">
      <w:start w:val="1"/>
      <w:numFmt w:val="bullet"/>
      <w:lvlText w:val=""/>
      <w:lvlJc w:val="left"/>
      <w:pPr>
        <w:ind w:left="945" w:hanging="360"/>
      </w:pPr>
      <w:rPr>
        <w:rFonts w:ascii="Symbol" w:hAnsi="Symbol" w:hint="default"/>
      </w:rPr>
    </w:lvl>
    <w:lvl w:ilvl="4" w:tplc="08090003" w:tentative="1">
      <w:start w:val="1"/>
      <w:numFmt w:val="bullet"/>
      <w:lvlText w:val="o"/>
      <w:lvlJc w:val="left"/>
      <w:pPr>
        <w:ind w:left="1665" w:hanging="360"/>
      </w:pPr>
      <w:rPr>
        <w:rFonts w:ascii="Courier New" w:hAnsi="Courier New" w:cs="Courier New" w:hint="default"/>
      </w:rPr>
    </w:lvl>
    <w:lvl w:ilvl="5" w:tplc="08090005" w:tentative="1">
      <w:start w:val="1"/>
      <w:numFmt w:val="bullet"/>
      <w:lvlText w:val=""/>
      <w:lvlJc w:val="left"/>
      <w:pPr>
        <w:ind w:left="2385" w:hanging="360"/>
      </w:pPr>
      <w:rPr>
        <w:rFonts w:ascii="Wingdings" w:hAnsi="Wingdings" w:hint="default"/>
      </w:rPr>
    </w:lvl>
    <w:lvl w:ilvl="6" w:tplc="08090001" w:tentative="1">
      <w:start w:val="1"/>
      <w:numFmt w:val="bullet"/>
      <w:lvlText w:val=""/>
      <w:lvlJc w:val="left"/>
      <w:pPr>
        <w:ind w:left="3105" w:hanging="360"/>
      </w:pPr>
      <w:rPr>
        <w:rFonts w:ascii="Symbol" w:hAnsi="Symbol" w:hint="default"/>
      </w:rPr>
    </w:lvl>
    <w:lvl w:ilvl="7" w:tplc="08090003" w:tentative="1">
      <w:start w:val="1"/>
      <w:numFmt w:val="bullet"/>
      <w:lvlText w:val="o"/>
      <w:lvlJc w:val="left"/>
      <w:pPr>
        <w:ind w:left="3825" w:hanging="360"/>
      </w:pPr>
      <w:rPr>
        <w:rFonts w:ascii="Courier New" w:hAnsi="Courier New" w:cs="Courier New" w:hint="default"/>
      </w:rPr>
    </w:lvl>
    <w:lvl w:ilvl="8" w:tplc="08090005" w:tentative="1">
      <w:start w:val="1"/>
      <w:numFmt w:val="bullet"/>
      <w:lvlText w:val=""/>
      <w:lvlJc w:val="left"/>
      <w:pPr>
        <w:ind w:left="4545" w:hanging="360"/>
      </w:pPr>
      <w:rPr>
        <w:rFonts w:ascii="Wingdings" w:hAnsi="Wingdings" w:hint="default"/>
      </w:rPr>
    </w:lvl>
  </w:abstractNum>
  <w:abstractNum w:abstractNumId="17">
    <w:nsid w:val="358B415F"/>
    <w:multiLevelType w:val="hybridMultilevel"/>
    <w:tmpl w:val="5680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F65566"/>
    <w:multiLevelType w:val="hybridMultilevel"/>
    <w:tmpl w:val="E4CC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E93AB6"/>
    <w:multiLevelType w:val="hybridMultilevel"/>
    <w:tmpl w:val="461C3292"/>
    <w:lvl w:ilvl="0" w:tplc="ABDC97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D66851"/>
    <w:multiLevelType w:val="hybridMultilevel"/>
    <w:tmpl w:val="714A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75699D"/>
    <w:multiLevelType w:val="hybridMultilevel"/>
    <w:tmpl w:val="1CEA7D30"/>
    <w:lvl w:ilvl="0" w:tplc="BA7CBB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354717"/>
    <w:multiLevelType w:val="hybridMultilevel"/>
    <w:tmpl w:val="24681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FC108B"/>
    <w:multiLevelType w:val="hybridMultilevel"/>
    <w:tmpl w:val="EA100D3C"/>
    <w:lvl w:ilvl="0" w:tplc="F7AC052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3C32B97"/>
    <w:multiLevelType w:val="hybridMultilevel"/>
    <w:tmpl w:val="9872D36A"/>
    <w:lvl w:ilvl="0" w:tplc="950458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081718"/>
    <w:multiLevelType w:val="hybridMultilevel"/>
    <w:tmpl w:val="6304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651797"/>
    <w:multiLevelType w:val="hybridMultilevel"/>
    <w:tmpl w:val="A7D89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62412D4E"/>
    <w:multiLevelType w:val="hybridMultilevel"/>
    <w:tmpl w:val="D7EE57E2"/>
    <w:lvl w:ilvl="0" w:tplc="22BE3E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D80FF1"/>
    <w:multiLevelType w:val="hybridMultilevel"/>
    <w:tmpl w:val="8AD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8E1D20"/>
    <w:multiLevelType w:val="hybridMultilevel"/>
    <w:tmpl w:val="0C0EC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4D1710"/>
    <w:multiLevelType w:val="hybridMultilevel"/>
    <w:tmpl w:val="F4B2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AF02E6"/>
    <w:multiLevelType w:val="hybridMultilevel"/>
    <w:tmpl w:val="645EC1B6"/>
    <w:lvl w:ilvl="0" w:tplc="37204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F41D5A"/>
    <w:multiLevelType w:val="hybridMultilevel"/>
    <w:tmpl w:val="9AC620EA"/>
    <w:lvl w:ilvl="0" w:tplc="6D6E74B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3"/>
  </w:num>
  <w:num w:numId="4">
    <w:abstractNumId w:val="28"/>
  </w:num>
  <w:num w:numId="5">
    <w:abstractNumId w:val="9"/>
  </w:num>
  <w:num w:numId="6">
    <w:abstractNumId w:val="3"/>
  </w:num>
  <w:num w:numId="7">
    <w:abstractNumId w:val="1"/>
  </w:num>
  <w:num w:numId="8">
    <w:abstractNumId w:val="32"/>
  </w:num>
  <w:num w:numId="9">
    <w:abstractNumId w:val="7"/>
  </w:num>
  <w:num w:numId="10">
    <w:abstractNumId w:val="4"/>
  </w:num>
  <w:num w:numId="11">
    <w:abstractNumId w:val="2"/>
  </w:num>
  <w:num w:numId="12">
    <w:abstractNumId w:val="16"/>
  </w:num>
  <w:num w:numId="13">
    <w:abstractNumId w:val="15"/>
  </w:num>
  <w:num w:numId="14">
    <w:abstractNumId w:val="12"/>
  </w:num>
  <w:num w:numId="15">
    <w:abstractNumId w:val="31"/>
  </w:num>
  <w:num w:numId="16">
    <w:abstractNumId w:val="25"/>
  </w:num>
  <w:num w:numId="17">
    <w:abstractNumId w:val="18"/>
  </w:num>
  <w:num w:numId="18">
    <w:abstractNumId w:val="5"/>
  </w:num>
  <w:num w:numId="19">
    <w:abstractNumId w:val="30"/>
  </w:num>
  <w:num w:numId="20">
    <w:abstractNumId w:val="20"/>
  </w:num>
  <w:num w:numId="21">
    <w:abstractNumId w:val="17"/>
  </w:num>
  <w:num w:numId="22">
    <w:abstractNumId w:val="21"/>
  </w:num>
  <w:num w:numId="23">
    <w:abstractNumId w:val="24"/>
  </w:num>
  <w:num w:numId="24">
    <w:abstractNumId w:val="23"/>
  </w:num>
  <w:num w:numId="25">
    <w:abstractNumId w:val="22"/>
  </w:num>
  <w:num w:numId="26">
    <w:abstractNumId w:val="27"/>
  </w:num>
  <w:num w:numId="27">
    <w:abstractNumId w:val="14"/>
  </w:num>
  <w:num w:numId="28">
    <w:abstractNumId w:val="11"/>
  </w:num>
  <w:num w:numId="29">
    <w:abstractNumId w:val="6"/>
  </w:num>
  <w:num w:numId="30">
    <w:abstractNumId w:val="1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4B"/>
    <w:rsid w:val="00003826"/>
    <w:rsid w:val="000142DF"/>
    <w:rsid w:val="00024073"/>
    <w:rsid w:val="00047165"/>
    <w:rsid w:val="0005417A"/>
    <w:rsid w:val="00057EA1"/>
    <w:rsid w:val="00067FCB"/>
    <w:rsid w:val="00072F5F"/>
    <w:rsid w:val="00076018"/>
    <w:rsid w:val="000C27C4"/>
    <w:rsid w:val="000D01B0"/>
    <w:rsid w:val="000D4EBE"/>
    <w:rsid w:val="000F3AF1"/>
    <w:rsid w:val="00107989"/>
    <w:rsid w:val="00116927"/>
    <w:rsid w:val="00127DB7"/>
    <w:rsid w:val="00147BDB"/>
    <w:rsid w:val="00173B84"/>
    <w:rsid w:val="00176799"/>
    <w:rsid w:val="00177D86"/>
    <w:rsid w:val="00181B6F"/>
    <w:rsid w:val="00185BE0"/>
    <w:rsid w:val="001901C3"/>
    <w:rsid w:val="00193948"/>
    <w:rsid w:val="001940DC"/>
    <w:rsid w:val="001A0016"/>
    <w:rsid w:val="001A00F9"/>
    <w:rsid w:val="001A0C63"/>
    <w:rsid w:val="001A502A"/>
    <w:rsid w:val="001B43D3"/>
    <w:rsid w:val="001B76C8"/>
    <w:rsid w:val="001C54AC"/>
    <w:rsid w:val="001D1BD9"/>
    <w:rsid w:val="001D7FDF"/>
    <w:rsid w:val="001E3FBE"/>
    <w:rsid w:val="001E4152"/>
    <w:rsid w:val="001E4408"/>
    <w:rsid w:val="001F41F5"/>
    <w:rsid w:val="001F5DC3"/>
    <w:rsid w:val="001F691D"/>
    <w:rsid w:val="0020768A"/>
    <w:rsid w:val="0022799A"/>
    <w:rsid w:val="00243D5A"/>
    <w:rsid w:val="00256B1A"/>
    <w:rsid w:val="00260454"/>
    <w:rsid w:val="00276CE3"/>
    <w:rsid w:val="00290342"/>
    <w:rsid w:val="00296260"/>
    <w:rsid w:val="002A0A39"/>
    <w:rsid w:val="002B1868"/>
    <w:rsid w:val="002B2F27"/>
    <w:rsid w:val="002C335D"/>
    <w:rsid w:val="002C3B56"/>
    <w:rsid w:val="002C7845"/>
    <w:rsid w:val="002D1B82"/>
    <w:rsid w:val="002F1265"/>
    <w:rsid w:val="00313078"/>
    <w:rsid w:val="00315CF7"/>
    <w:rsid w:val="0031669D"/>
    <w:rsid w:val="0033148C"/>
    <w:rsid w:val="00343F1B"/>
    <w:rsid w:val="00346E78"/>
    <w:rsid w:val="00352DA2"/>
    <w:rsid w:val="0036072B"/>
    <w:rsid w:val="00362A3D"/>
    <w:rsid w:val="00386726"/>
    <w:rsid w:val="003A01B7"/>
    <w:rsid w:val="003A27AE"/>
    <w:rsid w:val="003A58C8"/>
    <w:rsid w:val="003A728D"/>
    <w:rsid w:val="003B018E"/>
    <w:rsid w:val="003D08DE"/>
    <w:rsid w:val="003D2366"/>
    <w:rsid w:val="003E1D4A"/>
    <w:rsid w:val="0040075A"/>
    <w:rsid w:val="0042324F"/>
    <w:rsid w:val="004364AB"/>
    <w:rsid w:val="0044076B"/>
    <w:rsid w:val="00441EF3"/>
    <w:rsid w:val="004427ED"/>
    <w:rsid w:val="004927DE"/>
    <w:rsid w:val="004950F6"/>
    <w:rsid w:val="00496659"/>
    <w:rsid w:val="004979EF"/>
    <w:rsid w:val="004A1223"/>
    <w:rsid w:val="004B17A6"/>
    <w:rsid w:val="004B2445"/>
    <w:rsid w:val="004D3229"/>
    <w:rsid w:val="004E0488"/>
    <w:rsid w:val="004F4336"/>
    <w:rsid w:val="004F5AE8"/>
    <w:rsid w:val="00502CE9"/>
    <w:rsid w:val="00505897"/>
    <w:rsid w:val="00506FF9"/>
    <w:rsid w:val="00525762"/>
    <w:rsid w:val="00546B53"/>
    <w:rsid w:val="00547BC0"/>
    <w:rsid w:val="0055594B"/>
    <w:rsid w:val="00580ED3"/>
    <w:rsid w:val="00586C94"/>
    <w:rsid w:val="00592ECD"/>
    <w:rsid w:val="005940B1"/>
    <w:rsid w:val="005A6C6C"/>
    <w:rsid w:val="005B4F70"/>
    <w:rsid w:val="005B7EB7"/>
    <w:rsid w:val="005E3BF7"/>
    <w:rsid w:val="005E52F8"/>
    <w:rsid w:val="006117C9"/>
    <w:rsid w:val="00642515"/>
    <w:rsid w:val="00644094"/>
    <w:rsid w:val="00655D45"/>
    <w:rsid w:val="00661941"/>
    <w:rsid w:val="00662BEE"/>
    <w:rsid w:val="00663AC2"/>
    <w:rsid w:val="0066727A"/>
    <w:rsid w:val="00667ED5"/>
    <w:rsid w:val="006716E7"/>
    <w:rsid w:val="00692740"/>
    <w:rsid w:val="00695E83"/>
    <w:rsid w:val="006B6BDD"/>
    <w:rsid w:val="006F2AFD"/>
    <w:rsid w:val="006F50D7"/>
    <w:rsid w:val="00714D55"/>
    <w:rsid w:val="0072141A"/>
    <w:rsid w:val="00722061"/>
    <w:rsid w:val="007375A5"/>
    <w:rsid w:val="00746DAF"/>
    <w:rsid w:val="007528D2"/>
    <w:rsid w:val="00755EBC"/>
    <w:rsid w:val="00765019"/>
    <w:rsid w:val="00772EE7"/>
    <w:rsid w:val="0078399C"/>
    <w:rsid w:val="007958E3"/>
    <w:rsid w:val="007B470F"/>
    <w:rsid w:val="007B6CD1"/>
    <w:rsid w:val="007C63D8"/>
    <w:rsid w:val="007E092E"/>
    <w:rsid w:val="007F4D23"/>
    <w:rsid w:val="007F6B22"/>
    <w:rsid w:val="008162B0"/>
    <w:rsid w:val="008225FF"/>
    <w:rsid w:val="00832D99"/>
    <w:rsid w:val="00832E28"/>
    <w:rsid w:val="0084005A"/>
    <w:rsid w:val="00844912"/>
    <w:rsid w:val="00854FC2"/>
    <w:rsid w:val="008825C9"/>
    <w:rsid w:val="00883BE3"/>
    <w:rsid w:val="00884722"/>
    <w:rsid w:val="00885484"/>
    <w:rsid w:val="008A4311"/>
    <w:rsid w:val="008A5A75"/>
    <w:rsid w:val="008B0381"/>
    <w:rsid w:val="008B14EB"/>
    <w:rsid w:val="008B4EE8"/>
    <w:rsid w:val="008B51FB"/>
    <w:rsid w:val="008C4149"/>
    <w:rsid w:val="008D3675"/>
    <w:rsid w:val="008F34C6"/>
    <w:rsid w:val="00902BC3"/>
    <w:rsid w:val="0091082D"/>
    <w:rsid w:val="00915AF3"/>
    <w:rsid w:val="00924289"/>
    <w:rsid w:val="00942C3C"/>
    <w:rsid w:val="00950E17"/>
    <w:rsid w:val="00954727"/>
    <w:rsid w:val="009723A8"/>
    <w:rsid w:val="00984EF5"/>
    <w:rsid w:val="00991D9E"/>
    <w:rsid w:val="00995D7A"/>
    <w:rsid w:val="00996021"/>
    <w:rsid w:val="009A1388"/>
    <w:rsid w:val="009B7B40"/>
    <w:rsid w:val="009C0B09"/>
    <w:rsid w:val="009C34DF"/>
    <w:rsid w:val="009D222E"/>
    <w:rsid w:val="009E5B7C"/>
    <w:rsid w:val="009F4563"/>
    <w:rsid w:val="00A010B1"/>
    <w:rsid w:val="00A06667"/>
    <w:rsid w:val="00A101CF"/>
    <w:rsid w:val="00A11B6D"/>
    <w:rsid w:val="00A755A6"/>
    <w:rsid w:val="00A92A9F"/>
    <w:rsid w:val="00A93095"/>
    <w:rsid w:val="00AB45C9"/>
    <w:rsid w:val="00AB5099"/>
    <w:rsid w:val="00AD3D92"/>
    <w:rsid w:val="00AD3EE3"/>
    <w:rsid w:val="00AD4C1F"/>
    <w:rsid w:val="00AF0969"/>
    <w:rsid w:val="00B03CE1"/>
    <w:rsid w:val="00B25D66"/>
    <w:rsid w:val="00B555DE"/>
    <w:rsid w:val="00B62D0F"/>
    <w:rsid w:val="00B6475D"/>
    <w:rsid w:val="00B8239E"/>
    <w:rsid w:val="00BA007E"/>
    <w:rsid w:val="00BA69E0"/>
    <w:rsid w:val="00BB1F67"/>
    <w:rsid w:val="00BF24E3"/>
    <w:rsid w:val="00BF7EF1"/>
    <w:rsid w:val="00C05A6A"/>
    <w:rsid w:val="00C2621B"/>
    <w:rsid w:val="00C3739D"/>
    <w:rsid w:val="00C4376A"/>
    <w:rsid w:val="00C53016"/>
    <w:rsid w:val="00C5460F"/>
    <w:rsid w:val="00C66A45"/>
    <w:rsid w:val="00C87BF7"/>
    <w:rsid w:val="00CA2D16"/>
    <w:rsid w:val="00CB0F3D"/>
    <w:rsid w:val="00CD7BBE"/>
    <w:rsid w:val="00CE56F1"/>
    <w:rsid w:val="00CF16B4"/>
    <w:rsid w:val="00CF7B97"/>
    <w:rsid w:val="00D16436"/>
    <w:rsid w:val="00D17527"/>
    <w:rsid w:val="00D3127D"/>
    <w:rsid w:val="00D313F4"/>
    <w:rsid w:val="00D35AFD"/>
    <w:rsid w:val="00D41E67"/>
    <w:rsid w:val="00D42A4D"/>
    <w:rsid w:val="00D54C9D"/>
    <w:rsid w:val="00D64A24"/>
    <w:rsid w:val="00D700A3"/>
    <w:rsid w:val="00D80A4F"/>
    <w:rsid w:val="00D8644F"/>
    <w:rsid w:val="00DA398B"/>
    <w:rsid w:val="00DA4FDB"/>
    <w:rsid w:val="00DD3683"/>
    <w:rsid w:val="00DE2F03"/>
    <w:rsid w:val="00DF0A9B"/>
    <w:rsid w:val="00E070DD"/>
    <w:rsid w:val="00E242AE"/>
    <w:rsid w:val="00E32CC4"/>
    <w:rsid w:val="00E42B30"/>
    <w:rsid w:val="00E43857"/>
    <w:rsid w:val="00E47834"/>
    <w:rsid w:val="00E531F5"/>
    <w:rsid w:val="00E56139"/>
    <w:rsid w:val="00E57CE7"/>
    <w:rsid w:val="00E8700D"/>
    <w:rsid w:val="00EB19FE"/>
    <w:rsid w:val="00EB57FF"/>
    <w:rsid w:val="00EB6204"/>
    <w:rsid w:val="00EC7303"/>
    <w:rsid w:val="00ED3A4B"/>
    <w:rsid w:val="00EF2C0D"/>
    <w:rsid w:val="00F05857"/>
    <w:rsid w:val="00F10020"/>
    <w:rsid w:val="00F14447"/>
    <w:rsid w:val="00F2260D"/>
    <w:rsid w:val="00F30EBA"/>
    <w:rsid w:val="00F4212F"/>
    <w:rsid w:val="00F467EE"/>
    <w:rsid w:val="00F50E9B"/>
    <w:rsid w:val="00F716FE"/>
    <w:rsid w:val="00F71CD6"/>
    <w:rsid w:val="00F91815"/>
    <w:rsid w:val="00F92598"/>
    <w:rsid w:val="00F943C6"/>
    <w:rsid w:val="00FA4303"/>
    <w:rsid w:val="00FA4BB2"/>
    <w:rsid w:val="00FA4D05"/>
    <w:rsid w:val="00FB39EB"/>
    <w:rsid w:val="00FC4D7B"/>
    <w:rsid w:val="00FD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6625"/>
  <w15:docId w15:val="{E89592CB-DCC5-4246-964B-474E5618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94B"/>
    <w:rPr>
      <w:rFonts w:ascii="Times New Roman" w:eastAsia="Times New Roman" w:hAnsi="Times New Roman"/>
      <w:lang w:eastAsia="en-US"/>
    </w:rPr>
  </w:style>
  <w:style w:type="paragraph" w:styleId="Heading1">
    <w:name w:val="heading 1"/>
    <w:basedOn w:val="Normal"/>
    <w:next w:val="Normal"/>
    <w:link w:val="Heading1Char"/>
    <w:qFormat/>
    <w:rsid w:val="0055594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94B"/>
    <w:rPr>
      <w:rFonts w:ascii="Times New Roman" w:eastAsia="Times New Roman" w:hAnsi="Times New Roman" w:cs="Times New Roman"/>
      <w:b/>
      <w:sz w:val="24"/>
      <w:szCs w:val="20"/>
    </w:rPr>
  </w:style>
  <w:style w:type="paragraph" w:styleId="Title">
    <w:name w:val="Title"/>
    <w:basedOn w:val="Normal"/>
    <w:link w:val="TitleChar"/>
    <w:qFormat/>
    <w:rsid w:val="0055594B"/>
    <w:pPr>
      <w:jc w:val="center"/>
    </w:pPr>
    <w:rPr>
      <w:b/>
      <w:sz w:val="24"/>
    </w:rPr>
  </w:style>
  <w:style w:type="character" w:customStyle="1" w:styleId="TitleChar">
    <w:name w:val="Title Char"/>
    <w:basedOn w:val="DefaultParagraphFont"/>
    <w:link w:val="Title"/>
    <w:rsid w:val="0055594B"/>
    <w:rPr>
      <w:rFonts w:ascii="Times New Roman" w:eastAsia="Times New Roman" w:hAnsi="Times New Roman" w:cs="Times New Roman"/>
      <w:b/>
      <w:sz w:val="24"/>
      <w:szCs w:val="20"/>
    </w:rPr>
  </w:style>
  <w:style w:type="paragraph" w:styleId="BodyText">
    <w:name w:val="Body Text"/>
    <w:basedOn w:val="Normal"/>
    <w:link w:val="BodyTextChar"/>
    <w:semiHidden/>
    <w:rsid w:val="0055594B"/>
    <w:rPr>
      <w:sz w:val="24"/>
    </w:rPr>
  </w:style>
  <w:style w:type="character" w:customStyle="1" w:styleId="BodyTextChar">
    <w:name w:val="Body Text Char"/>
    <w:basedOn w:val="DefaultParagraphFont"/>
    <w:link w:val="BodyText"/>
    <w:semiHidden/>
    <w:rsid w:val="005559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5594B"/>
    <w:pPr>
      <w:tabs>
        <w:tab w:val="center" w:pos="4513"/>
        <w:tab w:val="right" w:pos="9026"/>
      </w:tabs>
    </w:pPr>
  </w:style>
  <w:style w:type="character" w:customStyle="1" w:styleId="HeaderChar">
    <w:name w:val="Header Char"/>
    <w:basedOn w:val="DefaultParagraphFont"/>
    <w:link w:val="Header"/>
    <w:uiPriority w:val="99"/>
    <w:rsid w:val="005559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23A8"/>
    <w:rPr>
      <w:rFonts w:ascii="Tahoma" w:hAnsi="Tahoma" w:cs="Tahoma"/>
      <w:sz w:val="16"/>
      <w:szCs w:val="16"/>
    </w:rPr>
  </w:style>
  <w:style w:type="character" w:customStyle="1" w:styleId="BalloonTextChar">
    <w:name w:val="Balloon Text Char"/>
    <w:basedOn w:val="DefaultParagraphFont"/>
    <w:link w:val="BalloonText"/>
    <w:uiPriority w:val="99"/>
    <w:semiHidden/>
    <w:rsid w:val="009723A8"/>
    <w:rPr>
      <w:rFonts w:ascii="Tahoma" w:eastAsia="Times New Roman" w:hAnsi="Tahoma" w:cs="Tahoma"/>
      <w:sz w:val="16"/>
      <w:szCs w:val="16"/>
      <w:lang w:eastAsia="en-US"/>
    </w:rPr>
  </w:style>
  <w:style w:type="paragraph" w:styleId="ListParagraph">
    <w:name w:val="List Paragraph"/>
    <w:basedOn w:val="Normal"/>
    <w:uiPriority w:val="34"/>
    <w:qFormat/>
    <w:rsid w:val="002C3B56"/>
    <w:pPr>
      <w:ind w:left="720"/>
      <w:contextualSpacing/>
    </w:pPr>
  </w:style>
  <w:style w:type="character" w:styleId="Hyperlink">
    <w:name w:val="Hyperlink"/>
    <w:basedOn w:val="DefaultParagraphFont"/>
    <w:uiPriority w:val="99"/>
    <w:unhideWhenUsed/>
    <w:rsid w:val="00496659"/>
    <w:rPr>
      <w:color w:val="0000FF" w:themeColor="hyperlink"/>
      <w:u w:val="single"/>
    </w:rPr>
  </w:style>
  <w:style w:type="paragraph" w:styleId="Footer">
    <w:name w:val="footer"/>
    <w:basedOn w:val="Normal"/>
    <w:link w:val="FooterChar"/>
    <w:uiPriority w:val="99"/>
    <w:unhideWhenUsed/>
    <w:rsid w:val="00547BC0"/>
    <w:pPr>
      <w:tabs>
        <w:tab w:val="center" w:pos="4513"/>
        <w:tab w:val="right" w:pos="9026"/>
      </w:tabs>
    </w:pPr>
  </w:style>
  <w:style w:type="character" w:customStyle="1" w:styleId="FooterChar">
    <w:name w:val="Footer Char"/>
    <w:basedOn w:val="DefaultParagraphFont"/>
    <w:link w:val="Footer"/>
    <w:uiPriority w:val="99"/>
    <w:rsid w:val="00547BC0"/>
    <w:rPr>
      <w:rFonts w:ascii="Times New Roman" w:eastAsia="Times New Roman" w:hAnsi="Times New Roman"/>
      <w:lang w:eastAsia="en-US"/>
    </w:rPr>
  </w:style>
  <w:style w:type="paragraph" w:styleId="NormalWeb">
    <w:name w:val="Normal (Web)"/>
    <w:basedOn w:val="Normal"/>
    <w:uiPriority w:val="99"/>
    <w:semiHidden/>
    <w:unhideWhenUsed/>
    <w:rsid w:val="00586C94"/>
    <w:rPr>
      <w:sz w:val="24"/>
      <w:szCs w:val="24"/>
    </w:rPr>
  </w:style>
  <w:style w:type="character" w:styleId="CommentReference">
    <w:name w:val="annotation reference"/>
    <w:basedOn w:val="DefaultParagraphFont"/>
    <w:uiPriority w:val="99"/>
    <w:semiHidden/>
    <w:unhideWhenUsed/>
    <w:rsid w:val="0042324F"/>
    <w:rPr>
      <w:sz w:val="16"/>
      <w:szCs w:val="16"/>
    </w:rPr>
  </w:style>
  <w:style w:type="paragraph" w:styleId="CommentText">
    <w:name w:val="annotation text"/>
    <w:basedOn w:val="Normal"/>
    <w:link w:val="CommentTextChar"/>
    <w:uiPriority w:val="99"/>
    <w:semiHidden/>
    <w:unhideWhenUsed/>
    <w:rsid w:val="0042324F"/>
  </w:style>
  <w:style w:type="character" w:customStyle="1" w:styleId="CommentTextChar">
    <w:name w:val="Comment Text Char"/>
    <w:basedOn w:val="DefaultParagraphFont"/>
    <w:link w:val="CommentText"/>
    <w:uiPriority w:val="99"/>
    <w:semiHidden/>
    <w:rsid w:val="0042324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2324F"/>
    <w:rPr>
      <w:b/>
      <w:bCs/>
    </w:rPr>
  </w:style>
  <w:style w:type="character" w:customStyle="1" w:styleId="CommentSubjectChar">
    <w:name w:val="Comment Subject Char"/>
    <w:basedOn w:val="CommentTextChar"/>
    <w:link w:val="CommentSubject"/>
    <w:uiPriority w:val="99"/>
    <w:semiHidden/>
    <w:rsid w:val="0042324F"/>
    <w:rPr>
      <w:rFonts w:ascii="Times New Roman" w:eastAsia="Times New Roman" w:hAnsi="Times New Roman"/>
      <w:b/>
      <w:bCs/>
      <w:lang w:eastAsia="en-US"/>
    </w:rPr>
  </w:style>
  <w:style w:type="paragraph" w:customStyle="1" w:styleId="Default">
    <w:name w:val="Default"/>
    <w:rsid w:val="00746D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53342">
      <w:bodyDiv w:val="1"/>
      <w:marLeft w:val="0"/>
      <w:marRight w:val="0"/>
      <w:marTop w:val="0"/>
      <w:marBottom w:val="0"/>
      <w:divBdr>
        <w:top w:val="none" w:sz="0" w:space="0" w:color="auto"/>
        <w:left w:val="none" w:sz="0" w:space="0" w:color="auto"/>
        <w:bottom w:val="none" w:sz="0" w:space="0" w:color="auto"/>
        <w:right w:val="none" w:sz="0" w:space="0" w:color="auto"/>
      </w:divBdr>
    </w:div>
    <w:div w:id="1295677512">
      <w:bodyDiv w:val="1"/>
      <w:marLeft w:val="0"/>
      <w:marRight w:val="0"/>
      <w:marTop w:val="0"/>
      <w:marBottom w:val="0"/>
      <w:divBdr>
        <w:top w:val="none" w:sz="0" w:space="0" w:color="auto"/>
        <w:left w:val="none" w:sz="0" w:space="0" w:color="auto"/>
        <w:bottom w:val="none" w:sz="0" w:space="0" w:color="auto"/>
        <w:right w:val="none" w:sz="0" w:space="0" w:color="auto"/>
      </w:divBdr>
    </w:div>
    <w:div w:id="1458334377">
      <w:bodyDiv w:val="1"/>
      <w:marLeft w:val="0"/>
      <w:marRight w:val="0"/>
      <w:marTop w:val="0"/>
      <w:marBottom w:val="0"/>
      <w:divBdr>
        <w:top w:val="none" w:sz="0" w:space="0" w:color="auto"/>
        <w:left w:val="none" w:sz="0" w:space="0" w:color="auto"/>
        <w:bottom w:val="none" w:sz="0" w:space="0" w:color="auto"/>
        <w:right w:val="none" w:sz="0" w:space="0" w:color="auto"/>
      </w:divBdr>
    </w:div>
    <w:div w:id="1497651646">
      <w:bodyDiv w:val="1"/>
      <w:marLeft w:val="0"/>
      <w:marRight w:val="0"/>
      <w:marTop w:val="0"/>
      <w:marBottom w:val="0"/>
      <w:divBdr>
        <w:top w:val="none" w:sz="0" w:space="0" w:color="auto"/>
        <w:left w:val="none" w:sz="0" w:space="0" w:color="auto"/>
        <w:bottom w:val="none" w:sz="0" w:space="0" w:color="auto"/>
        <w:right w:val="none" w:sz="0" w:space="0" w:color="auto"/>
      </w:divBdr>
    </w:div>
    <w:div w:id="1919242140">
      <w:bodyDiv w:val="1"/>
      <w:marLeft w:val="0"/>
      <w:marRight w:val="0"/>
      <w:marTop w:val="0"/>
      <w:marBottom w:val="0"/>
      <w:divBdr>
        <w:top w:val="none" w:sz="0" w:space="0" w:color="auto"/>
        <w:left w:val="none" w:sz="0" w:space="0" w:color="auto"/>
        <w:bottom w:val="none" w:sz="0" w:space="0" w:color="auto"/>
        <w:right w:val="none" w:sz="0" w:space="0" w:color="auto"/>
      </w:divBdr>
    </w:div>
    <w:div w:id="19967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eremy.Yapp@beama.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http/www.beama.org.uk/filemanager/root/site_assets/new_beama_logo_jpegfor_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11AD97A5FD44419C4D9DC15F35DA18" ma:contentTypeVersion="0" ma:contentTypeDescription="Create a new document." ma:contentTypeScope="" ma:versionID="c9d7c792129df5aac04c9caa88d0bfa6">
  <xsd:schema xmlns:xsd="http://www.w3.org/2001/XMLSchema" xmlns:xs="http://www.w3.org/2001/XMLSchema" xmlns:p="http://schemas.microsoft.com/office/2006/metadata/properties" targetNamespace="http://schemas.microsoft.com/office/2006/metadata/properties" ma:root="true" ma:fieldsID="71322d9ce1008d897abe99ed2beeea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1EDB6-4B66-4611-8C19-1AAEE369366E}">
  <ds:schemaRefs>
    <ds:schemaRef ds:uri="http://schemas.microsoft.com/sharepoint/v3/contenttype/forms"/>
  </ds:schemaRefs>
</ds:datastoreItem>
</file>

<file path=customXml/itemProps2.xml><?xml version="1.0" encoding="utf-8"?>
<ds:datastoreItem xmlns:ds="http://schemas.openxmlformats.org/officeDocument/2006/customXml" ds:itemID="{83A57931-8D1A-45B8-9871-3103693E2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9DC63-4ED7-4B8D-8485-A1232BC0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Willman</dc:creator>
  <cp:lastModifiedBy>Jeremy  Yapp</cp:lastModifiedBy>
  <cp:revision>4</cp:revision>
  <cp:lastPrinted>2013-05-14T14:09:00Z</cp:lastPrinted>
  <dcterms:created xsi:type="dcterms:W3CDTF">2015-09-22T20:36:00Z</dcterms:created>
  <dcterms:modified xsi:type="dcterms:W3CDTF">2015-09-22T21:02:00Z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0x0101002211AD97A5FD44419C4D9DC15F35DA18</vt:lpwstr>
  </property>
  <property fmtid="{D5CDD505-2E9C-101B-9397-08002B2CF9AE}" pid="3" name="IsMyDocuments">
    <vt:bool>true</vt:bool>
  </property>
</Properties>
</file>