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095CEC" w14:textId="77777777" w:rsidR="00185CD8" w:rsidRDefault="00185CD8" w:rsidP="00185CD8">
      <w:pPr>
        <w:jc w:val="both"/>
        <w:rPr>
          <w:b/>
          <w:sz w:val="28"/>
          <w:lang w:val="en-GB"/>
        </w:rPr>
      </w:pPr>
    </w:p>
    <w:p w14:paraId="4D3EA093" w14:textId="77777777" w:rsidR="00F05881" w:rsidRPr="003D1BD3" w:rsidRDefault="00185755" w:rsidP="00185CD8">
      <w:pPr>
        <w:jc w:val="both"/>
        <w:rPr>
          <w:b/>
          <w:sz w:val="28"/>
          <w:lang w:val="en-GB"/>
        </w:rPr>
      </w:pPr>
      <w:r>
        <w:rPr>
          <w:b/>
          <w:sz w:val="28"/>
          <w:lang w:val="en-GB"/>
        </w:rPr>
        <w:t>EURIS</w:t>
      </w:r>
      <w:r w:rsidR="00F05881" w:rsidRPr="003D1BD3">
        <w:rPr>
          <w:b/>
          <w:sz w:val="28"/>
          <w:lang w:val="en-GB"/>
        </w:rPr>
        <w:t xml:space="preserve"> priorities for industry post Brexit</w:t>
      </w:r>
    </w:p>
    <w:p w14:paraId="76A3153F" w14:textId="3C91113D" w:rsidR="00FD76BE" w:rsidRDefault="00E6653A" w:rsidP="00185CD8">
      <w:pPr>
        <w:jc w:val="both"/>
        <w:rPr>
          <w:szCs w:val="28"/>
          <w:lang w:val="en-GB"/>
        </w:rPr>
      </w:pPr>
      <w:r>
        <w:rPr>
          <w:lang w:val="en-GB"/>
        </w:rPr>
        <w:t xml:space="preserve">The </w:t>
      </w:r>
      <w:r w:rsidR="00185755">
        <w:rPr>
          <w:lang w:val="en-GB"/>
        </w:rPr>
        <w:t>EURIS</w:t>
      </w:r>
      <w:r>
        <w:rPr>
          <w:lang w:val="en-GB"/>
        </w:rPr>
        <w:t xml:space="preserve"> group</w:t>
      </w:r>
      <w:r w:rsidR="00F05881" w:rsidRPr="00F05881">
        <w:rPr>
          <w:lang w:val="en-GB"/>
        </w:rPr>
        <w:t xml:space="preserve"> </w:t>
      </w:r>
      <w:r>
        <w:rPr>
          <w:lang w:val="en-GB"/>
        </w:rPr>
        <w:t xml:space="preserve">(European Union Relationship and Industrial Strategy) </w:t>
      </w:r>
      <w:r w:rsidR="00F05881" w:rsidRPr="00F05881">
        <w:rPr>
          <w:lang w:val="en-GB"/>
        </w:rPr>
        <w:t xml:space="preserve">represents </w:t>
      </w:r>
      <w:r w:rsidR="00185755">
        <w:rPr>
          <w:lang w:val="en-GB"/>
        </w:rPr>
        <w:t>the combined industrial membership of BEAMA and GAMBICA, with additional representation from other aligned Trade Associations. (EAMA, NMI, CESA)</w:t>
      </w:r>
      <w:r w:rsidR="009F01D7">
        <w:rPr>
          <w:lang w:val="en-GB"/>
        </w:rPr>
        <w:t>.</w:t>
      </w:r>
      <w:r w:rsidR="00185755">
        <w:rPr>
          <w:lang w:val="en-GB"/>
        </w:rPr>
        <w:t xml:space="preserve"> T</w:t>
      </w:r>
      <w:r w:rsidR="009F01D7">
        <w:rPr>
          <w:lang w:val="en-GB"/>
        </w:rPr>
        <w:t xml:space="preserve">he </w:t>
      </w:r>
      <w:r>
        <w:rPr>
          <w:lang w:val="en-GB"/>
        </w:rPr>
        <w:t>2000</w:t>
      </w:r>
      <w:r w:rsidR="00185755">
        <w:rPr>
          <w:lang w:val="en-GB"/>
        </w:rPr>
        <w:t>+ companies</w:t>
      </w:r>
      <w:r w:rsidR="009F01D7">
        <w:rPr>
          <w:lang w:val="en-GB"/>
        </w:rPr>
        <w:t xml:space="preserve"> in the combined membership are represented by a Task Force of 13 companies, plus the executives from the member associations. </w:t>
      </w:r>
      <w:r w:rsidR="00185755">
        <w:rPr>
          <w:lang w:val="en-GB"/>
        </w:rPr>
        <w:t xml:space="preserve"> </w:t>
      </w:r>
    </w:p>
    <w:p w14:paraId="6972F6AA" w14:textId="13153E16" w:rsidR="009F01D7" w:rsidRDefault="009F01D7" w:rsidP="00185CD8">
      <w:pPr>
        <w:jc w:val="both"/>
        <w:rPr>
          <w:szCs w:val="28"/>
          <w:lang w:val="en-GB"/>
        </w:rPr>
      </w:pPr>
      <w:r>
        <w:rPr>
          <w:szCs w:val="28"/>
          <w:lang w:val="en-GB"/>
        </w:rPr>
        <w:t>Our combined industries have developed and changed completely over the 43</w:t>
      </w:r>
      <w:r w:rsidR="00FD76BE">
        <w:rPr>
          <w:szCs w:val="28"/>
          <w:lang w:val="en-GB"/>
        </w:rPr>
        <w:t xml:space="preserve"> years of EU membership, </w:t>
      </w:r>
      <w:r w:rsidR="002636F4">
        <w:rPr>
          <w:szCs w:val="28"/>
          <w:lang w:val="en-GB"/>
        </w:rPr>
        <w:t xml:space="preserve">and </w:t>
      </w:r>
      <w:r w:rsidR="00964612">
        <w:rPr>
          <w:szCs w:val="28"/>
          <w:lang w:val="en-GB"/>
        </w:rPr>
        <w:t>are</w:t>
      </w:r>
      <w:r w:rsidR="00FD76BE">
        <w:rPr>
          <w:szCs w:val="28"/>
          <w:lang w:val="en-GB"/>
        </w:rPr>
        <w:t xml:space="preserve"> inextricably part of European industry</w:t>
      </w:r>
      <w:r w:rsidR="004D182A">
        <w:rPr>
          <w:szCs w:val="28"/>
          <w:lang w:val="en-GB"/>
        </w:rPr>
        <w:t>,</w:t>
      </w:r>
      <w:r w:rsidR="00FD76BE">
        <w:rPr>
          <w:szCs w:val="28"/>
          <w:lang w:val="en-GB"/>
        </w:rPr>
        <w:t xml:space="preserve"> and </w:t>
      </w:r>
      <w:r w:rsidR="004D182A">
        <w:rPr>
          <w:szCs w:val="28"/>
          <w:lang w:val="en-GB"/>
        </w:rPr>
        <w:t xml:space="preserve">thus </w:t>
      </w:r>
      <w:r w:rsidR="00FD76BE">
        <w:rPr>
          <w:szCs w:val="28"/>
          <w:lang w:val="en-GB"/>
        </w:rPr>
        <w:t xml:space="preserve">all the political, legislative and regulatory aspects of EU membership.  </w:t>
      </w:r>
      <w:r w:rsidR="00064504">
        <w:rPr>
          <w:szCs w:val="28"/>
          <w:lang w:val="en-GB"/>
        </w:rPr>
        <w:t>The ownership and man</w:t>
      </w:r>
      <w:bookmarkStart w:id="0" w:name="_GoBack"/>
      <w:bookmarkEnd w:id="0"/>
      <w:r w:rsidR="00064504">
        <w:rPr>
          <w:szCs w:val="28"/>
          <w:lang w:val="en-GB"/>
        </w:rPr>
        <w:t>agement of member companies</w:t>
      </w:r>
      <w:r w:rsidR="00964612">
        <w:rPr>
          <w:szCs w:val="28"/>
          <w:lang w:val="en-GB"/>
        </w:rPr>
        <w:t>, is</w:t>
      </w:r>
      <w:r w:rsidR="00064504">
        <w:rPr>
          <w:szCs w:val="28"/>
          <w:lang w:val="en-GB"/>
        </w:rPr>
        <w:t xml:space="preserve"> </w:t>
      </w:r>
      <w:r w:rsidR="00B740DC">
        <w:rPr>
          <w:szCs w:val="28"/>
          <w:lang w:val="en-GB"/>
        </w:rPr>
        <w:t>split between UK national, European and global</w:t>
      </w:r>
      <w:r w:rsidR="00E6653A">
        <w:rPr>
          <w:szCs w:val="28"/>
          <w:lang w:val="en-GB"/>
        </w:rPr>
        <w:t xml:space="preserve"> entities</w:t>
      </w:r>
      <w:r w:rsidR="00B740DC">
        <w:rPr>
          <w:szCs w:val="28"/>
          <w:lang w:val="en-GB"/>
        </w:rPr>
        <w:t xml:space="preserve">. </w:t>
      </w:r>
      <w:r w:rsidR="00064504">
        <w:rPr>
          <w:szCs w:val="28"/>
          <w:lang w:val="en-GB"/>
        </w:rPr>
        <w:t xml:space="preserve"> </w:t>
      </w:r>
      <w:r w:rsidR="004D182A">
        <w:rPr>
          <w:szCs w:val="28"/>
          <w:lang w:val="en-GB"/>
        </w:rPr>
        <w:t>The decision for the UK to leave the EU</w:t>
      </w:r>
      <w:r w:rsidR="00064504">
        <w:rPr>
          <w:szCs w:val="28"/>
          <w:lang w:val="en-GB"/>
        </w:rPr>
        <w:t xml:space="preserve"> therefore</w:t>
      </w:r>
      <w:r w:rsidR="004D182A">
        <w:rPr>
          <w:szCs w:val="28"/>
          <w:lang w:val="en-GB"/>
        </w:rPr>
        <w:t xml:space="preserve">, </w:t>
      </w:r>
      <w:r w:rsidR="00E6653A">
        <w:rPr>
          <w:szCs w:val="28"/>
          <w:lang w:val="en-GB"/>
        </w:rPr>
        <w:t xml:space="preserve">presents </w:t>
      </w:r>
      <w:r w:rsidR="004D182A">
        <w:rPr>
          <w:szCs w:val="28"/>
          <w:lang w:val="en-GB"/>
        </w:rPr>
        <w:t xml:space="preserve">a </w:t>
      </w:r>
      <w:r w:rsidR="00B740DC">
        <w:rPr>
          <w:szCs w:val="28"/>
          <w:lang w:val="en-GB"/>
        </w:rPr>
        <w:t xml:space="preserve">set of </w:t>
      </w:r>
      <w:r w:rsidR="004D182A">
        <w:rPr>
          <w:szCs w:val="28"/>
          <w:lang w:val="en-GB"/>
        </w:rPr>
        <w:t>major challenge</w:t>
      </w:r>
      <w:r w:rsidR="00B740DC">
        <w:rPr>
          <w:szCs w:val="28"/>
          <w:lang w:val="en-GB"/>
        </w:rPr>
        <w:t>s</w:t>
      </w:r>
      <w:r w:rsidR="004D182A">
        <w:rPr>
          <w:szCs w:val="28"/>
          <w:lang w:val="en-GB"/>
        </w:rPr>
        <w:t xml:space="preserve"> to the </w:t>
      </w:r>
      <w:r w:rsidR="00B740DC">
        <w:rPr>
          <w:szCs w:val="28"/>
          <w:lang w:val="en-GB"/>
        </w:rPr>
        <w:t xml:space="preserve">whole </w:t>
      </w:r>
      <w:r w:rsidR="004D182A">
        <w:rPr>
          <w:szCs w:val="28"/>
          <w:lang w:val="en-GB"/>
        </w:rPr>
        <w:t xml:space="preserve">industry. </w:t>
      </w:r>
    </w:p>
    <w:p w14:paraId="7A6DBD6F" w14:textId="77777777" w:rsidR="009F01D7" w:rsidRDefault="004D182A" w:rsidP="00185CD8">
      <w:pPr>
        <w:jc w:val="both"/>
        <w:rPr>
          <w:szCs w:val="28"/>
          <w:lang w:val="en-GB"/>
        </w:rPr>
      </w:pPr>
      <w:r>
        <w:rPr>
          <w:szCs w:val="28"/>
          <w:lang w:val="en-GB"/>
        </w:rPr>
        <w:t xml:space="preserve">This paper </w:t>
      </w:r>
      <w:r w:rsidR="009F01D7">
        <w:rPr>
          <w:szCs w:val="28"/>
          <w:lang w:val="en-GB"/>
        </w:rPr>
        <w:t>is split into a number of sections:</w:t>
      </w:r>
    </w:p>
    <w:p w14:paraId="5F0937D2" w14:textId="77777777" w:rsidR="009F01D7" w:rsidRPr="00620666" w:rsidRDefault="009F01D7" w:rsidP="00185CD8">
      <w:pPr>
        <w:jc w:val="both"/>
        <w:rPr>
          <w:b/>
          <w:szCs w:val="28"/>
          <w:lang w:val="en-GB"/>
        </w:rPr>
      </w:pPr>
      <w:r w:rsidRPr="00620666">
        <w:rPr>
          <w:b/>
          <w:szCs w:val="28"/>
          <w:lang w:val="en-GB"/>
        </w:rPr>
        <w:t xml:space="preserve">Part 1 </w:t>
      </w:r>
      <w:r w:rsidR="00AC010F" w:rsidRPr="00620666">
        <w:rPr>
          <w:b/>
          <w:szCs w:val="28"/>
          <w:lang w:val="en-GB"/>
        </w:rPr>
        <w:t xml:space="preserve">- </w:t>
      </w:r>
      <w:r w:rsidRPr="00620666">
        <w:rPr>
          <w:b/>
          <w:szCs w:val="28"/>
          <w:lang w:val="en-GB"/>
        </w:rPr>
        <w:t>The main policy themes</w:t>
      </w:r>
      <w:r w:rsidR="00620666">
        <w:rPr>
          <w:b/>
          <w:szCs w:val="28"/>
          <w:lang w:val="en-GB"/>
        </w:rPr>
        <w:t>.</w:t>
      </w:r>
    </w:p>
    <w:p w14:paraId="7FAF4DB9" w14:textId="77777777" w:rsidR="009F01D7" w:rsidRPr="00620666" w:rsidRDefault="009F01D7" w:rsidP="00185CD8">
      <w:pPr>
        <w:jc w:val="both"/>
        <w:rPr>
          <w:b/>
          <w:szCs w:val="28"/>
          <w:lang w:val="en-GB"/>
        </w:rPr>
      </w:pPr>
      <w:r w:rsidRPr="00620666">
        <w:rPr>
          <w:b/>
          <w:szCs w:val="28"/>
          <w:lang w:val="en-GB"/>
        </w:rPr>
        <w:t xml:space="preserve">Part 2 </w:t>
      </w:r>
      <w:r w:rsidR="00AC010F" w:rsidRPr="00620666">
        <w:rPr>
          <w:b/>
          <w:szCs w:val="28"/>
          <w:lang w:val="en-GB"/>
        </w:rPr>
        <w:t xml:space="preserve">- </w:t>
      </w:r>
      <w:r w:rsidRPr="00620666">
        <w:rPr>
          <w:b/>
          <w:szCs w:val="28"/>
          <w:lang w:val="en-GB"/>
        </w:rPr>
        <w:t>The impact on the industry</w:t>
      </w:r>
      <w:r w:rsidR="00AD3DFD">
        <w:rPr>
          <w:b/>
          <w:szCs w:val="28"/>
          <w:lang w:val="en-GB"/>
        </w:rPr>
        <w:t>,</w:t>
      </w:r>
      <w:r w:rsidRPr="00620666">
        <w:rPr>
          <w:b/>
          <w:szCs w:val="28"/>
          <w:lang w:val="en-GB"/>
        </w:rPr>
        <w:t xml:space="preserve"> June – Dec 2016</w:t>
      </w:r>
    </w:p>
    <w:p w14:paraId="0345BBA1" w14:textId="77777777" w:rsidR="009F01D7" w:rsidRPr="00620666" w:rsidRDefault="009F01D7" w:rsidP="00185CD8">
      <w:pPr>
        <w:jc w:val="both"/>
        <w:rPr>
          <w:b/>
          <w:szCs w:val="28"/>
          <w:lang w:val="en-GB"/>
        </w:rPr>
      </w:pPr>
      <w:r w:rsidRPr="00620666">
        <w:rPr>
          <w:b/>
          <w:szCs w:val="28"/>
          <w:lang w:val="en-GB"/>
        </w:rPr>
        <w:t xml:space="preserve">Part 3 </w:t>
      </w:r>
      <w:r w:rsidR="00AC010F" w:rsidRPr="00620666">
        <w:rPr>
          <w:b/>
          <w:szCs w:val="28"/>
          <w:lang w:val="en-GB"/>
        </w:rPr>
        <w:t xml:space="preserve">- </w:t>
      </w:r>
      <w:r w:rsidRPr="00620666">
        <w:rPr>
          <w:b/>
          <w:szCs w:val="28"/>
          <w:lang w:val="en-GB"/>
        </w:rPr>
        <w:t>The surveys and</w:t>
      </w:r>
      <w:r w:rsidR="00620666" w:rsidRPr="00620666">
        <w:rPr>
          <w:b/>
          <w:szCs w:val="28"/>
          <w:lang w:val="en-GB"/>
        </w:rPr>
        <w:t xml:space="preserve"> reports generated by BEAMA, GA</w:t>
      </w:r>
      <w:r w:rsidRPr="00620666">
        <w:rPr>
          <w:b/>
          <w:szCs w:val="28"/>
          <w:lang w:val="en-GB"/>
        </w:rPr>
        <w:t>MBICA and other TAs</w:t>
      </w:r>
    </w:p>
    <w:p w14:paraId="253BC810" w14:textId="77777777" w:rsidR="009F01D7" w:rsidRPr="00620666" w:rsidRDefault="00AC010F" w:rsidP="00185CD8">
      <w:pPr>
        <w:jc w:val="both"/>
        <w:rPr>
          <w:b/>
          <w:szCs w:val="28"/>
          <w:lang w:val="en-GB"/>
        </w:rPr>
      </w:pPr>
      <w:r w:rsidRPr="00620666">
        <w:rPr>
          <w:b/>
          <w:szCs w:val="28"/>
          <w:lang w:val="en-GB"/>
        </w:rPr>
        <w:t>Part 4 - The</w:t>
      </w:r>
      <w:r w:rsidR="009F01D7" w:rsidRPr="00620666">
        <w:rPr>
          <w:b/>
          <w:szCs w:val="28"/>
          <w:lang w:val="en-GB"/>
        </w:rPr>
        <w:t xml:space="preserve"> role of EURIS in 2017 and beyond</w:t>
      </w:r>
    </w:p>
    <w:p w14:paraId="0176C69D" w14:textId="5304C266" w:rsidR="009F01D7" w:rsidRDefault="009F01D7" w:rsidP="00185CD8">
      <w:pPr>
        <w:jc w:val="both"/>
        <w:rPr>
          <w:b/>
          <w:szCs w:val="28"/>
          <w:lang w:val="en-GB"/>
        </w:rPr>
      </w:pPr>
      <w:r w:rsidRPr="00620666">
        <w:rPr>
          <w:b/>
          <w:szCs w:val="28"/>
          <w:lang w:val="en-GB"/>
        </w:rPr>
        <w:t>Part 5</w:t>
      </w:r>
      <w:r w:rsidR="00AC010F" w:rsidRPr="00620666">
        <w:rPr>
          <w:b/>
          <w:szCs w:val="28"/>
          <w:lang w:val="en-GB"/>
        </w:rPr>
        <w:t xml:space="preserve"> </w:t>
      </w:r>
      <w:r w:rsidR="00E6653A">
        <w:rPr>
          <w:b/>
          <w:szCs w:val="28"/>
          <w:lang w:val="en-GB"/>
        </w:rPr>
        <w:t>–</w:t>
      </w:r>
      <w:r w:rsidR="00AC010F" w:rsidRPr="00620666">
        <w:rPr>
          <w:b/>
          <w:szCs w:val="28"/>
          <w:lang w:val="en-GB"/>
        </w:rPr>
        <w:t xml:space="preserve"> </w:t>
      </w:r>
      <w:r w:rsidRPr="00620666">
        <w:rPr>
          <w:b/>
          <w:szCs w:val="28"/>
          <w:lang w:val="en-GB"/>
        </w:rPr>
        <w:t>Real</w:t>
      </w:r>
      <w:r w:rsidR="00E6653A">
        <w:rPr>
          <w:b/>
          <w:szCs w:val="28"/>
          <w:lang w:val="en-GB"/>
        </w:rPr>
        <w:t>-</w:t>
      </w:r>
      <w:r w:rsidRPr="00620666">
        <w:rPr>
          <w:b/>
          <w:szCs w:val="28"/>
          <w:lang w:val="en-GB"/>
        </w:rPr>
        <w:t xml:space="preserve">life examples </w:t>
      </w:r>
      <w:r w:rsidR="00AC010F" w:rsidRPr="00620666">
        <w:rPr>
          <w:b/>
          <w:szCs w:val="28"/>
          <w:lang w:val="en-GB"/>
        </w:rPr>
        <w:t>from members of the EURIS TF</w:t>
      </w:r>
    </w:p>
    <w:p w14:paraId="44AE3360" w14:textId="77777777" w:rsidR="00620666" w:rsidRDefault="00620666" w:rsidP="00185CD8">
      <w:pPr>
        <w:jc w:val="both"/>
        <w:rPr>
          <w:b/>
          <w:szCs w:val="28"/>
          <w:lang w:val="en-GB"/>
        </w:rPr>
      </w:pPr>
    </w:p>
    <w:p w14:paraId="69F5C882" w14:textId="251F961E" w:rsidR="00620666" w:rsidRDefault="00620666" w:rsidP="00185CD8">
      <w:pPr>
        <w:spacing w:after="160" w:line="259" w:lineRule="auto"/>
        <w:jc w:val="both"/>
        <w:rPr>
          <w:b/>
          <w:szCs w:val="28"/>
          <w:lang w:val="en-GB"/>
        </w:rPr>
      </w:pPr>
    </w:p>
    <w:p w14:paraId="47CED28B" w14:textId="1EE28FE7" w:rsidR="00B16CF1" w:rsidRDefault="00B16CF1" w:rsidP="00185CD8">
      <w:pPr>
        <w:spacing w:after="160" w:line="259" w:lineRule="auto"/>
        <w:jc w:val="both"/>
        <w:rPr>
          <w:b/>
          <w:szCs w:val="28"/>
          <w:lang w:val="en-GB"/>
        </w:rPr>
      </w:pPr>
    </w:p>
    <w:p w14:paraId="74B7625D" w14:textId="33DEABBF" w:rsidR="00B16CF1" w:rsidRDefault="00B16CF1" w:rsidP="00185CD8">
      <w:pPr>
        <w:spacing w:after="160" w:line="259" w:lineRule="auto"/>
        <w:jc w:val="both"/>
        <w:rPr>
          <w:b/>
          <w:szCs w:val="28"/>
          <w:lang w:val="en-GB"/>
        </w:rPr>
      </w:pPr>
    </w:p>
    <w:p w14:paraId="006F8F63" w14:textId="2E597A08" w:rsidR="00B16CF1" w:rsidRDefault="00B16CF1" w:rsidP="00185CD8">
      <w:pPr>
        <w:spacing w:after="160" w:line="259" w:lineRule="auto"/>
        <w:jc w:val="both"/>
        <w:rPr>
          <w:b/>
          <w:szCs w:val="28"/>
          <w:lang w:val="en-GB"/>
        </w:rPr>
      </w:pPr>
    </w:p>
    <w:p w14:paraId="39AB49EA" w14:textId="31C86483" w:rsidR="00B16CF1" w:rsidRDefault="00B16CF1" w:rsidP="00185CD8">
      <w:pPr>
        <w:spacing w:after="160" w:line="259" w:lineRule="auto"/>
        <w:jc w:val="both"/>
        <w:rPr>
          <w:b/>
          <w:szCs w:val="28"/>
          <w:lang w:val="en-GB"/>
        </w:rPr>
      </w:pPr>
    </w:p>
    <w:p w14:paraId="6FC4BC9F" w14:textId="461FDAA3" w:rsidR="00B16CF1" w:rsidRDefault="00B16CF1" w:rsidP="00185CD8">
      <w:pPr>
        <w:spacing w:after="160" w:line="259" w:lineRule="auto"/>
        <w:jc w:val="both"/>
        <w:rPr>
          <w:b/>
          <w:szCs w:val="28"/>
          <w:lang w:val="en-GB"/>
        </w:rPr>
      </w:pPr>
    </w:p>
    <w:p w14:paraId="4F137981" w14:textId="0ACBB594" w:rsidR="00B16CF1" w:rsidRDefault="00B16CF1" w:rsidP="00185CD8">
      <w:pPr>
        <w:spacing w:after="160" w:line="259" w:lineRule="auto"/>
        <w:jc w:val="both"/>
        <w:rPr>
          <w:b/>
          <w:szCs w:val="28"/>
          <w:lang w:val="en-GB"/>
        </w:rPr>
      </w:pPr>
    </w:p>
    <w:p w14:paraId="65092F9C" w14:textId="4CB9BEB9" w:rsidR="00B16CF1" w:rsidRDefault="00B16CF1" w:rsidP="00185CD8">
      <w:pPr>
        <w:spacing w:after="160" w:line="259" w:lineRule="auto"/>
        <w:jc w:val="both"/>
        <w:rPr>
          <w:b/>
          <w:szCs w:val="28"/>
          <w:lang w:val="en-GB"/>
        </w:rPr>
      </w:pPr>
    </w:p>
    <w:p w14:paraId="0CD6A93C" w14:textId="565A87C3" w:rsidR="00B16CF1" w:rsidRPr="0088495E" w:rsidRDefault="00AE4ACC" w:rsidP="00185CD8">
      <w:pPr>
        <w:spacing w:after="160" w:line="259" w:lineRule="auto"/>
        <w:jc w:val="both"/>
        <w:rPr>
          <w:b/>
          <w:szCs w:val="28"/>
          <w:lang w:val="fr-FR"/>
        </w:rPr>
      </w:pPr>
      <w:r>
        <w:rPr>
          <w:b/>
          <w:szCs w:val="28"/>
          <w:lang w:val="fr-FR"/>
        </w:rPr>
        <w:t>Version 2</w:t>
      </w:r>
      <w:r w:rsidR="00B16CF1" w:rsidRPr="0088495E">
        <w:rPr>
          <w:b/>
          <w:szCs w:val="28"/>
          <w:lang w:val="fr-FR"/>
        </w:rPr>
        <w:t>.0</w:t>
      </w:r>
    </w:p>
    <w:p w14:paraId="223C6873" w14:textId="7E591E01" w:rsidR="00B16CF1" w:rsidRPr="0088495E" w:rsidRDefault="00AE4ACC" w:rsidP="00185CD8">
      <w:pPr>
        <w:spacing w:after="160" w:line="259" w:lineRule="auto"/>
        <w:jc w:val="both"/>
        <w:rPr>
          <w:b/>
          <w:szCs w:val="28"/>
          <w:lang w:val="fr-FR"/>
        </w:rPr>
      </w:pPr>
      <w:r>
        <w:rPr>
          <w:b/>
          <w:szCs w:val="28"/>
          <w:lang w:val="fr-FR"/>
        </w:rPr>
        <w:t>6/02</w:t>
      </w:r>
      <w:r w:rsidR="00B16CF1" w:rsidRPr="0088495E">
        <w:rPr>
          <w:b/>
          <w:szCs w:val="28"/>
          <w:lang w:val="fr-FR"/>
        </w:rPr>
        <w:t>/2017</w:t>
      </w:r>
    </w:p>
    <w:p w14:paraId="48492201" w14:textId="1F3385F9" w:rsidR="00B16CF1" w:rsidRPr="0088495E" w:rsidRDefault="00B16CF1" w:rsidP="00185CD8">
      <w:pPr>
        <w:spacing w:after="160" w:line="259" w:lineRule="auto"/>
        <w:jc w:val="both"/>
        <w:rPr>
          <w:b/>
          <w:szCs w:val="28"/>
          <w:lang w:val="fr-FR"/>
        </w:rPr>
      </w:pPr>
      <w:r w:rsidRPr="0088495E">
        <w:rPr>
          <w:b/>
          <w:szCs w:val="28"/>
          <w:lang w:val="fr-FR"/>
        </w:rPr>
        <w:t>howard.porter@beama.org.uk</w:t>
      </w:r>
    </w:p>
    <w:p w14:paraId="151A1858" w14:textId="3537BA13" w:rsidR="00185CD8" w:rsidRDefault="00B16CF1" w:rsidP="00185CD8">
      <w:pPr>
        <w:jc w:val="both"/>
        <w:rPr>
          <w:b/>
          <w:szCs w:val="28"/>
          <w:lang w:val="en-GB"/>
        </w:rPr>
      </w:pPr>
      <w:r>
        <w:rPr>
          <w:b/>
          <w:szCs w:val="28"/>
          <w:lang w:val="en-GB"/>
        </w:rPr>
        <w:t>steve.brambley@gambica.org.uk</w:t>
      </w:r>
    </w:p>
    <w:p w14:paraId="252497C6" w14:textId="77777777" w:rsidR="00185CD8" w:rsidRDefault="00185CD8" w:rsidP="00185CD8">
      <w:pPr>
        <w:jc w:val="both"/>
        <w:rPr>
          <w:b/>
          <w:szCs w:val="28"/>
          <w:lang w:val="en-GB"/>
        </w:rPr>
      </w:pPr>
    </w:p>
    <w:p w14:paraId="07DF5C6D" w14:textId="77777777" w:rsidR="00185CD8" w:rsidRDefault="00185CD8" w:rsidP="00185CD8">
      <w:pPr>
        <w:jc w:val="both"/>
        <w:rPr>
          <w:b/>
          <w:szCs w:val="28"/>
          <w:lang w:val="en-GB"/>
        </w:rPr>
      </w:pPr>
    </w:p>
    <w:p w14:paraId="1EE97EBE" w14:textId="77777777" w:rsidR="00AC010F" w:rsidRDefault="00AC010F" w:rsidP="00185CD8">
      <w:pPr>
        <w:jc w:val="both"/>
        <w:rPr>
          <w:b/>
          <w:szCs w:val="28"/>
          <w:lang w:val="en-GB"/>
        </w:rPr>
      </w:pPr>
      <w:r w:rsidRPr="00F15F90">
        <w:rPr>
          <w:b/>
          <w:szCs w:val="28"/>
          <w:lang w:val="en-GB"/>
        </w:rPr>
        <w:t xml:space="preserve">Part </w:t>
      </w:r>
      <w:r w:rsidR="00F15F90" w:rsidRPr="00F15F90">
        <w:rPr>
          <w:b/>
          <w:szCs w:val="28"/>
          <w:lang w:val="en-GB"/>
        </w:rPr>
        <w:t>1</w:t>
      </w:r>
      <w:r w:rsidR="00620666">
        <w:rPr>
          <w:b/>
          <w:szCs w:val="28"/>
          <w:lang w:val="en-GB"/>
        </w:rPr>
        <w:tab/>
      </w:r>
      <w:r w:rsidR="00F15F90" w:rsidRPr="00F15F90">
        <w:rPr>
          <w:b/>
          <w:szCs w:val="28"/>
          <w:lang w:val="en-GB"/>
        </w:rPr>
        <w:t>The</w:t>
      </w:r>
      <w:r w:rsidRPr="00F15F90">
        <w:rPr>
          <w:b/>
          <w:szCs w:val="28"/>
          <w:lang w:val="en-GB"/>
        </w:rPr>
        <w:t xml:space="preserve"> main policy areas</w:t>
      </w:r>
    </w:p>
    <w:p w14:paraId="7EAFFAE3" w14:textId="0DB57976" w:rsidR="00C42DE4" w:rsidRPr="00C42DE4" w:rsidRDefault="00C42DE4" w:rsidP="00185CD8">
      <w:pPr>
        <w:jc w:val="both"/>
        <w:rPr>
          <w:szCs w:val="28"/>
          <w:lang w:val="en-GB"/>
        </w:rPr>
      </w:pPr>
      <w:r w:rsidRPr="00C42DE4">
        <w:rPr>
          <w:szCs w:val="28"/>
          <w:lang w:val="en-GB"/>
        </w:rPr>
        <w:t>The policy areas</w:t>
      </w:r>
      <w:r>
        <w:rPr>
          <w:szCs w:val="28"/>
          <w:lang w:val="en-GB"/>
        </w:rPr>
        <w:t xml:space="preserve"> identified</w:t>
      </w:r>
      <w:r w:rsidRPr="00C42DE4">
        <w:rPr>
          <w:szCs w:val="28"/>
          <w:lang w:val="en-GB"/>
        </w:rPr>
        <w:t xml:space="preserve"> are </w:t>
      </w:r>
      <w:r>
        <w:rPr>
          <w:szCs w:val="28"/>
          <w:lang w:val="en-GB"/>
        </w:rPr>
        <w:t xml:space="preserve">all essential </w:t>
      </w:r>
      <w:r w:rsidRPr="00C42DE4">
        <w:rPr>
          <w:szCs w:val="28"/>
          <w:lang w:val="en-GB"/>
        </w:rPr>
        <w:t>for the competitiveness and sustainability of the industry members of the EURIS Trade Associations.</w:t>
      </w:r>
    </w:p>
    <w:p w14:paraId="4038DBB0" w14:textId="2B2E086E" w:rsidR="00AC010F" w:rsidRDefault="00964612" w:rsidP="00185CD8">
      <w:pPr>
        <w:pStyle w:val="ListParagraph"/>
        <w:numPr>
          <w:ilvl w:val="0"/>
          <w:numId w:val="13"/>
        </w:numPr>
        <w:jc w:val="both"/>
        <w:rPr>
          <w:lang w:val="en-GB"/>
        </w:rPr>
      </w:pPr>
      <w:r>
        <w:rPr>
          <w:lang w:val="en-GB"/>
        </w:rPr>
        <w:t>A</w:t>
      </w:r>
      <w:r w:rsidR="00AC010F">
        <w:rPr>
          <w:lang w:val="en-GB"/>
        </w:rPr>
        <w:t xml:space="preserve">s many aspects of the Single market </w:t>
      </w:r>
      <w:r w:rsidR="00B740DC">
        <w:rPr>
          <w:lang w:val="en-GB"/>
        </w:rPr>
        <w:t xml:space="preserve">conditions </w:t>
      </w:r>
      <w:r w:rsidR="00AC010F">
        <w:rPr>
          <w:lang w:val="en-GB"/>
        </w:rPr>
        <w:t>as is possible</w:t>
      </w:r>
      <w:r>
        <w:rPr>
          <w:lang w:val="en-GB"/>
        </w:rPr>
        <w:t xml:space="preserve"> need to be maintained</w:t>
      </w:r>
      <w:r w:rsidR="00ED7B5B">
        <w:rPr>
          <w:lang w:val="en-GB"/>
        </w:rPr>
        <w:t xml:space="preserve"> </w:t>
      </w:r>
      <w:r w:rsidR="0081572E">
        <w:rPr>
          <w:lang w:val="en-GB"/>
        </w:rPr>
        <w:t>over the long term.</w:t>
      </w:r>
      <w:r w:rsidR="00AC010F">
        <w:rPr>
          <w:lang w:val="en-GB"/>
        </w:rPr>
        <w:t xml:space="preserve"> </w:t>
      </w:r>
      <w:r w:rsidR="0081572E">
        <w:rPr>
          <w:lang w:val="en-GB"/>
        </w:rPr>
        <w:t xml:space="preserve"> </w:t>
      </w:r>
      <w:r w:rsidR="00AC010F">
        <w:rPr>
          <w:lang w:val="en-GB"/>
        </w:rPr>
        <w:t>For product manufacturers</w:t>
      </w:r>
      <w:r w:rsidR="00E6653A">
        <w:rPr>
          <w:lang w:val="en-GB"/>
        </w:rPr>
        <w:t>,</w:t>
      </w:r>
      <w:r w:rsidR="00AC010F">
        <w:rPr>
          <w:lang w:val="en-GB"/>
        </w:rPr>
        <w:t xml:space="preserve"> there are specific market requirements</w:t>
      </w:r>
      <w:r w:rsidR="00E6653A">
        <w:rPr>
          <w:lang w:val="en-GB"/>
        </w:rPr>
        <w:t>,</w:t>
      </w:r>
      <w:r w:rsidR="00AC010F">
        <w:rPr>
          <w:lang w:val="en-GB"/>
        </w:rPr>
        <w:t xml:space="preserve"> including European product legislation and </w:t>
      </w:r>
      <w:r>
        <w:rPr>
          <w:lang w:val="en-GB"/>
        </w:rPr>
        <w:t>standardisation, which</w:t>
      </w:r>
      <w:r w:rsidR="00AC010F">
        <w:rPr>
          <w:lang w:val="en-GB"/>
        </w:rPr>
        <w:t xml:space="preserve"> will still need to be maintained </w:t>
      </w:r>
      <w:r w:rsidR="00E6653A">
        <w:rPr>
          <w:lang w:val="en-GB"/>
        </w:rPr>
        <w:t xml:space="preserve">to enable </w:t>
      </w:r>
      <w:r w:rsidR="00AC010F">
        <w:rPr>
          <w:lang w:val="en-GB"/>
        </w:rPr>
        <w:t>trade with the remaining EU countries.</w:t>
      </w:r>
    </w:p>
    <w:p w14:paraId="6050C747" w14:textId="56674340" w:rsidR="00AC010F" w:rsidRDefault="00964612" w:rsidP="00185CD8">
      <w:pPr>
        <w:pStyle w:val="ListParagraph"/>
        <w:numPr>
          <w:ilvl w:val="0"/>
          <w:numId w:val="13"/>
        </w:numPr>
        <w:jc w:val="both"/>
        <w:rPr>
          <w:lang w:val="en-GB"/>
        </w:rPr>
      </w:pPr>
      <w:r>
        <w:rPr>
          <w:lang w:val="en-GB"/>
        </w:rPr>
        <w:t>A</w:t>
      </w:r>
      <w:r w:rsidR="00AC010F">
        <w:rPr>
          <w:lang w:val="en-GB"/>
        </w:rPr>
        <w:t xml:space="preserve"> customs regime that allows for the free movement of goods at </w:t>
      </w:r>
      <w:r w:rsidR="00E6653A">
        <w:rPr>
          <w:lang w:val="en-GB"/>
        </w:rPr>
        <w:t xml:space="preserve">the </w:t>
      </w:r>
      <w:r w:rsidR="00AC010F">
        <w:rPr>
          <w:lang w:val="en-GB"/>
        </w:rPr>
        <w:t>lowest or no cost</w:t>
      </w:r>
      <w:r w:rsidR="001B6423">
        <w:rPr>
          <w:lang w:val="en-GB"/>
        </w:rPr>
        <w:t xml:space="preserve"> and minimal transport delays</w:t>
      </w:r>
      <w:r w:rsidR="00E6653A">
        <w:rPr>
          <w:lang w:val="en-GB"/>
        </w:rPr>
        <w:t>, both</w:t>
      </w:r>
      <w:r w:rsidR="00AC010F">
        <w:rPr>
          <w:lang w:val="en-GB"/>
        </w:rPr>
        <w:t xml:space="preserve"> into and out of the EU</w:t>
      </w:r>
      <w:r w:rsidR="00ED7B5B">
        <w:rPr>
          <w:lang w:val="en-GB"/>
        </w:rPr>
        <w:t xml:space="preserve"> </w:t>
      </w:r>
      <w:r w:rsidR="0081572E">
        <w:rPr>
          <w:lang w:val="en-GB"/>
        </w:rPr>
        <w:t>and does not add burdensome non-tariff barriers or origin certification requirements.</w:t>
      </w:r>
    </w:p>
    <w:p w14:paraId="15F9CE8E" w14:textId="107F483D" w:rsidR="00AC010F" w:rsidRPr="00E12A76" w:rsidRDefault="0081572E" w:rsidP="00185CD8">
      <w:pPr>
        <w:pStyle w:val="ListParagraph"/>
        <w:numPr>
          <w:ilvl w:val="0"/>
          <w:numId w:val="13"/>
        </w:numPr>
        <w:jc w:val="both"/>
        <w:rPr>
          <w:lang w:val="en-GB"/>
        </w:rPr>
      </w:pPr>
      <w:r>
        <w:rPr>
          <w:lang w:val="en-GB"/>
        </w:rPr>
        <w:t>Preservation of the current s</w:t>
      </w:r>
      <w:r w:rsidR="00F15F90">
        <w:rPr>
          <w:lang w:val="en-GB"/>
        </w:rPr>
        <w:t>tatus of existing EU national</w:t>
      </w:r>
      <w:r w:rsidR="00E6653A">
        <w:rPr>
          <w:lang w:val="en-GB"/>
        </w:rPr>
        <w:t>s</w:t>
      </w:r>
      <w:r w:rsidR="00F15F90">
        <w:rPr>
          <w:lang w:val="en-GB"/>
        </w:rPr>
        <w:t xml:space="preserve"> that are e</w:t>
      </w:r>
      <w:r w:rsidR="00964612">
        <w:rPr>
          <w:lang w:val="en-GB"/>
        </w:rPr>
        <w:t>mployees of companies</w:t>
      </w:r>
      <w:r w:rsidR="00304D2C">
        <w:rPr>
          <w:lang w:val="en-GB"/>
        </w:rPr>
        <w:t xml:space="preserve"> </w:t>
      </w:r>
      <w:r>
        <w:rPr>
          <w:lang w:val="en-GB"/>
        </w:rPr>
        <w:t>and their families</w:t>
      </w:r>
      <w:r w:rsidR="00964612">
        <w:rPr>
          <w:lang w:val="en-GB"/>
        </w:rPr>
        <w:t xml:space="preserve"> </w:t>
      </w:r>
      <w:r w:rsidR="00F15F90">
        <w:rPr>
          <w:lang w:val="en-GB"/>
        </w:rPr>
        <w:t>as soon as possible</w:t>
      </w:r>
      <w:r w:rsidR="00B740DC">
        <w:rPr>
          <w:lang w:val="en-GB"/>
        </w:rPr>
        <w:t xml:space="preserve">. The future access to the range of employees </w:t>
      </w:r>
      <w:r>
        <w:rPr>
          <w:lang w:val="en-GB"/>
        </w:rPr>
        <w:t xml:space="preserve">required for continuation and growth of UK business </w:t>
      </w:r>
      <w:r w:rsidR="00B740DC">
        <w:rPr>
          <w:lang w:val="en-GB"/>
        </w:rPr>
        <w:t xml:space="preserve">relies </w:t>
      </w:r>
      <w:r w:rsidR="00AE4ACC">
        <w:rPr>
          <w:lang w:val="en-GB"/>
        </w:rPr>
        <w:t>on continued</w:t>
      </w:r>
      <w:r w:rsidR="00304D2C" w:rsidRPr="00304D2C">
        <w:rPr>
          <w:color w:val="C00000"/>
          <w:lang w:val="en-GB"/>
        </w:rPr>
        <w:t xml:space="preserve"> </w:t>
      </w:r>
      <w:r w:rsidR="00B740DC">
        <w:rPr>
          <w:lang w:val="en-GB"/>
        </w:rPr>
        <w:t>access to EU citizens.</w:t>
      </w:r>
    </w:p>
    <w:p w14:paraId="2B75D64F" w14:textId="540E7E2B" w:rsidR="00AC010F" w:rsidRDefault="0081572E" w:rsidP="00185CD8">
      <w:pPr>
        <w:pStyle w:val="ListParagraph"/>
        <w:numPr>
          <w:ilvl w:val="0"/>
          <w:numId w:val="13"/>
        </w:numPr>
        <w:jc w:val="both"/>
        <w:rPr>
          <w:lang w:val="en-GB"/>
        </w:rPr>
      </w:pPr>
      <w:r>
        <w:rPr>
          <w:lang w:val="en-GB"/>
        </w:rPr>
        <w:t>An overall</w:t>
      </w:r>
      <w:r w:rsidR="00B740DC">
        <w:rPr>
          <w:lang w:val="en-GB"/>
        </w:rPr>
        <w:t xml:space="preserve"> deal</w:t>
      </w:r>
      <w:r>
        <w:rPr>
          <w:lang w:val="en-GB"/>
        </w:rPr>
        <w:t xml:space="preserve"> with the EU which provides equal status and terms for all sectors of UK industry.</w:t>
      </w:r>
    </w:p>
    <w:p w14:paraId="4B0B119C" w14:textId="4ACFBD17" w:rsidR="0081572E" w:rsidRPr="00E12A76" w:rsidRDefault="0081572E" w:rsidP="00185CD8">
      <w:pPr>
        <w:pStyle w:val="ListParagraph"/>
        <w:numPr>
          <w:ilvl w:val="0"/>
          <w:numId w:val="13"/>
        </w:numPr>
        <w:jc w:val="both"/>
        <w:rPr>
          <w:lang w:val="en-GB"/>
        </w:rPr>
      </w:pPr>
      <w:r>
        <w:rPr>
          <w:lang w:val="en-GB"/>
        </w:rPr>
        <w:t>A suitable implementation period to allow for clarification of any new regulatory framework and a continuation of UK input in developing standards, research and other activity in European bodies beyond EU institutions.</w:t>
      </w:r>
    </w:p>
    <w:p w14:paraId="62AB5B6E" w14:textId="1BBB8787" w:rsidR="00AC010F" w:rsidRPr="00E12A76" w:rsidRDefault="00964612" w:rsidP="00185CD8">
      <w:pPr>
        <w:pStyle w:val="ListParagraph"/>
        <w:numPr>
          <w:ilvl w:val="0"/>
          <w:numId w:val="13"/>
        </w:numPr>
        <w:jc w:val="both"/>
        <w:rPr>
          <w:lang w:val="en-GB"/>
        </w:rPr>
      </w:pPr>
      <w:r>
        <w:rPr>
          <w:lang w:val="en-GB"/>
        </w:rPr>
        <w:t>EURIS associations and their members need</w:t>
      </w:r>
      <w:r w:rsidR="00F15F90">
        <w:rPr>
          <w:lang w:val="en-GB"/>
        </w:rPr>
        <w:t xml:space="preserve"> to be fully involved in the development of any new trade deal </w:t>
      </w:r>
      <w:r w:rsidR="00B740DC">
        <w:rPr>
          <w:lang w:val="en-GB"/>
        </w:rPr>
        <w:t>with the EU, in particular with</w:t>
      </w:r>
      <w:r w:rsidR="00F15F90">
        <w:rPr>
          <w:lang w:val="en-GB"/>
        </w:rPr>
        <w:t xml:space="preserve"> refer</w:t>
      </w:r>
      <w:r w:rsidR="00B740DC">
        <w:rPr>
          <w:lang w:val="en-GB"/>
        </w:rPr>
        <w:t xml:space="preserve">ence to </w:t>
      </w:r>
      <w:r w:rsidR="0081572E">
        <w:rPr>
          <w:lang w:val="en-GB"/>
        </w:rPr>
        <w:t>our</w:t>
      </w:r>
      <w:r w:rsidR="00F140EE">
        <w:rPr>
          <w:lang w:val="en-GB"/>
        </w:rPr>
        <w:t xml:space="preserve"> </w:t>
      </w:r>
      <w:r w:rsidR="00B740DC">
        <w:rPr>
          <w:lang w:val="en-GB"/>
        </w:rPr>
        <w:t>products</w:t>
      </w:r>
      <w:r w:rsidR="00F15F90">
        <w:rPr>
          <w:lang w:val="en-GB"/>
        </w:rPr>
        <w:t>, software and associated services</w:t>
      </w:r>
      <w:r w:rsidR="00B740DC">
        <w:rPr>
          <w:lang w:val="en-GB"/>
        </w:rPr>
        <w:t>.</w:t>
      </w:r>
    </w:p>
    <w:p w14:paraId="62DF76C8" w14:textId="508EA479" w:rsidR="00F15F90" w:rsidRDefault="00964612" w:rsidP="00185CD8">
      <w:pPr>
        <w:pStyle w:val="ListParagraph"/>
        <w:numPr>
          <w:ilvl w:val="0"/>
          <w:numId w:val="13"/>
        </w:numPr>
        <w:jc w:val="both"/>
        <w:rPr>
          <w:lang w:val="en-GB"/>
        </w:rPr>
      </w:pPr>
      <w:r>
        <w:rPr>
          <w:lang w:val="en-GB"/>
        </w:rPr>
        <w:t xml:space="preserve">EURIS associations and their members </w:t>
      </w:r>
      <w:r w:rsidR="00F15F90">
        <w:rPr>
          <w:lang w:val="en-GB"/>
        </w:rPr>
        <w:t xml:space="preserve">are committed to assist UK Government to develop and deliver a productive and sustainable future relationship with </w:t>
      </w:r>
      <w:r w:rsidR="0081572E">
        <w:rPr>
          <w:lang w:val="en-GB"/>
        </w:rPr>
        <w:t xml:space="preserve">the </w:t>
      </w:r>
      <w:r w:rsidR="00F15F90">
        <w:rPr>
          <w:lang w:val="en-GB"/>
        </w:rPr>
        <w:t xml:space="preserve">EU </w:t>
      </w:r>
      <w:r w:rsidR="0081572E">
        <w:rPr>
          <w:lang w:val="en-GB"/>
        </w:rPr>
        <w:t xml:space="preserve">and its </w:t>
      </w:r>
      <w:r w:rsidR="00F15F90">
        <w:rPr>
          <w:lang w:val="en-GB"/>
        </w:rPr>
        <w:t>member states.</w:t>
      </w:r>
    </w:p>
    <w:p w14:paraId="31DCBF1C" w14:textId="17A18319" w:rsidR="00AC010F" w:rsidRPr="003D1BD3" w:rsidRDefault="00F15F90" w:rsidP="00185CD8">
      <w:pPr>
        <w:pStyle w:val="ListParagraph"/>
        <w:numPr>
          <w:ilvl w:val="0"/>
          <w:numId w:val="13"/>
        </w:numPr>
        <w:jc w:val="both"/>
        <w:rPr>
          <w:lang w:val="en-GB"/>
        </w:rPr>
      </w:pPr>
      <w:r>
        <w:rPr>
          <w:lang w:val="en-GB"/>
        </w:rPr>
        <w:t xml:space="preserve">EURIS associations have strong influence in Brussels in the product and service areas covered by </w:t>
      </w:r>
      <w:r w:rsidR="005C59E8">
        <w:rPr>
          <w:lang w:val="en-GB"/>
        </w:rPr>
        <w:t>the relevant industries</w:t>
      </w:r>
      <w:r>
        <w:rPr>
          <w:lang w:val="en-GB"/>
        </w:rPr>
        <w:t>. The T</w:t>
      </w:r>
      <w:r w:rsidR="00AD3DFD">
        <w:rPr>
          <w:lang w:val="en-GB"/>
        </w:rPr>
        <w:t xml:space="preserve">rade </w:t>
      </w:r>
      <w:r>
        <w:rPr>
          <w:lang w:val="en-GB"/>
        </w:rPr>
        <w:t>As</w:t>
      </w:r>
      <w:r w:rsidR="00AD3DFD">
        <w:rPr>
          <w:lang w:val="en-GB"/>
        </w:rPr>
        <w:t>sociations</w:t>
      </w:r>
      <w:r>
        <w:rPr>
          <w:lang w:val="en-GB"/>
        </w:rPr>
        <w:t xml:space="preserve"> recognise that these links will need to be</w:t>
      </w:r>
      <w:r w:rsidR="0081572E">
        <w:rPr>
          <w:lang w:val="en-GB"/>
        </w:rPr>
        <w:t xml:space="preserve"> utilised</w:t>
      </w:r>
      <w:r>
        <w:rPr>
          <w:lang w:val="en-GB"/>
        </w:rPr>
        <w:t xml:space="preserve"> and whe</w:t>
      </w:r>
      <w:r w:rsidR="005C59E8">
        <w:rPr>
          <w:lang w:val="en-GB"/>
        </w:rPr>
        <w:t xml:space="preserve">re possible increased, as </w:t>
      </w:r>
      <w:r w:rsidR="0081572E">
        <w:rPr>
          <w:lang w:val="en-GB"/>
        </w:rPr>
        <w:t>the nature of</w:t>
      </w:r>
      <w:r w:rsidR="005A4856" w:rsidRPr="005A4856">
        <w:rPr>
          <w:color w:val="C00000"/>
          <w:lang w:val="en-GB"/>
        </w:rPr>
        <w:t xml:space="preserve"> </w:t>
      </w:r>
      <w:r w:rsidR="005C59E8">
        <w:rPr>
          <w:lang w:val="en-GB"/>
        </w:rPr>
        <w:t>the UK</w:t>
      </w:r>
      <w:r>
        <w:rPr>
          <w:lang w:val="en-GB"/>
        </w:rPr>
        <w:t xml:space="preserve"> Government and civil servant</w:t>
      </w:r>
      <w:r w:rsidR="005C59E8">
        <w:rPr>
          <w:lang w:val="en-GB"/>
        </w:rPr>
        <w:t>s</w:t>
      </w:r>
      <w:r w:rsidR="009359FF">
        <w:rPr>
          <w:lang w:val="en-GB"/>
        </w:rPr>
        <w:t>’</w:t>
      </w:r>
      <w:r w:rsidR="0081572E">
        <w:rPr>
          <w:lang w:val="en-GB"/>
        </w:rPr>
        <w:t xml:space="preserve"> influence changes.</w:t>
      </w:r>
    </w:p>
    <w:p w14:paraId="13CC8C45" w14:textId="72BDFE94" w:rsidR="00F5680D" w:rsidRDefault="00CF0453" w:rsidP="0081572E">
      <w:pPr>
        <w:jc w:val="both"/>
        <w:rPr>
          <w:szCs w:val="28"/>
          <w:lang w:val="en-GB"/>
        </w:rPr>
      </w:pPr>
      <w:r>
        <w:rPr>
          <w:szCs w:val="28"/>
          <w:lang w:val="en-GB"/>
        </w:rPr>
        <w:br w:type="page"/>
      </w:r>
    </w:p>
    <w:p w14:paraId="292DFD9F" w14:textId="77777777" w:rsidR="00F5680D" w:rsidRDefault="00F5680D" w:rsidP="00185CD8">
      <w:pPr>
        <w:spacing w:after="160" w:line="259" w:lineRule="auto"/>
        <w:jc w:val="both"/>
        <w:rPr>
          <w:szCs w:val="28"/>
          <w:lang w:val="en-GB"/>
        </w:rPr>
      </w:pPr>
    </w:p>
    <w:p w14:paraId="64678C55" w14:textId="77777777" w:rsidR="00AC010F" w:rsidRPr="00CF0453" w:rsidRDefault="005C59E8" w:rsidP="00185CD8">
      <w:pPr>
        <w:spacing w:after="160" w:line="259" w:lineRule="auto"/>
        <w:jc w:val="both"/>
        <w:rPr>
          <w:szCs w:val="28"/>
          <w:lang w:val="en-GB"/>
        </w:rPr>
      </w:pPr>
      <w:r w:rsidRPr="00681F70">
        <w:rPr>
          <w:b/>
          <w:szCs w:val="28"/>
          <w:lang w:val="en-GB"/>
        </w:rPr>
        <w:t xml:space="preserve">Part 2 </w:t>
      </w:r>
      <w:r w:rsidRPr="00681F70">
        <w:rPr>
          <w:b/>
          <w:szCs w:val="28"/>
          <w:lang w:val="en-GB"/>
        </w:rPr>
        <w:tab/>
        <w:t>The impact on the industry</w:t>
      </w:r>
      <w:r w:rsidR="00AD3DFD">
        <w:rPr>
          <w:b/>
          <w:szCs w:val="28"/>
          <w:lang w:val="en-GB"/>
        </w:rPr>
        <w:t>,</w:t>
      </w:r>
      <w:r w:rsidRPr="00681F70">
        <w:rPr>
          <w:b/>
          <w:szCs w:val="28"/>
          <w:lang w:val="en-GB"/>
        </w:rPr>
        <w:t xml:space="preserve"> June – Dec 2016</w:t>
      </w:r>
    </w:p>
    <w:p w14:paraId="737F9555" w14:textId="77777777" w:rsidR="00350AE0" w:rsidRDefault="00350AE0" w:rsidP="00185CD8">
      <w:pPr>
        <w:jc w:val="both"/>
        <w:rPr>
          <w:szCs w:val="28"/>
          <w:lang w:val="en-GB"/>
        </w:rPr>
      </w:pPr>
      <w:r>
        <w:rPr>
          <w:szCs w:val="28"/>
          <w:lang w:val="en-GB"/>
        </w:rPr>
        <w:t>The impacts on the EURIS industries in the 6 months following the referendum vote have been varied, but there are some conclusions that can be discussed.</w:t>
      </w:r>
    </w:p>
    <w:p w14:paraId="0090D2C5" w14:textId="77777777" w:rsidR="00350AE0" w:rsidRPr="00681F70" w:rsidRDefault="00350AE0" w:rsidP="00185CD8">
      <w:pPr>
        <w:pStyle w:val="ListParagraph"/>
        <w:numPr>
          <w:ilvl w:val="0"/>
          <w:numId w:val="14"/>
        </w:numPr>
        <w:jc w:val="both"/>
        <w:rPr>
          <w:szCs w:val="28"/>
          <w:lang w:val="en-GB"/>
        </w:rPr>
      </w:pPr>
      <w:r w:rsidRPr="00681F70">
        <w:rPr>
          <w:szCs w:val="28"/>
          <w:lang w:val="en-GB"/>
        </w:rPr>
        <w:t>The price of imported goo</w:t>
      </w:r>
      <w:r w:rsidR="00681F70" w:rsidRPr="00681F70">
        <w:rPr>
          <w:szCs w:val="28"/>
          <w:lang w:val="en-GB"/>
        </w:rPr>
        <w:t>ds has increased by on average 13</w:t>
      </w:r>
      <w:r w:rsidRPr="00681F70">
        <w:rPr>
          <w:szCs w:val="28"/>
          <w:lang w:val="en-GB"/>
        </w:rPr>
        <w:t>%</w:t>
      </w:r>
      <w:r w:rsidR="00681F70" w:rsidRPr="00681F70">
        <w:rPr>
          <w:szCs w:val="28"/>
          <w:lang w:val="en-GB"/>
        </w:rPr>
        <w:t xml:space="preserve"> year on year</w:t>
      </w:r>
      <w:r w:rsidRPr="00681F70">
        <w:rPr>
          <w:szCs w:val="28"/>
          <w:lang w:val="en-GB"/>
        </w:rPr>
        <w:t xml:space="preserve">. This has affected both the import of components, and finished products. </w:t>
      </w:r>
      <w:r w:rsidR="00681F70">
        <w:rPr>
          <w:szCs w:val="28"/>
          <w:lang w:val="en-GB"/>
        </w:rPr>
        <w:t>This is due to the weakened pound against the US Dollar, connected Dollar currencies and the Euro.</w:t>
      </w:r>
    </w:p>
    <w:p w14:paraId="4EF290D4" w14:textId="77777777" w:rsidR="00AC010F" w:rsidRDefault="00350AE0" w:rsidP="00185CD8">
      <w:pPr>
        <w:pStyle w:val="ListParagraph"/>
        <w:numPr>
          <w:ilvl w:val="0"/>
          <w:numId w:val="14"/>
        </w:numPr>
        <w:jc w:val="both"/>
        <w:rPr>
          <w:szCs w:val="28"/>
          <w:lang w:val="en-GB"/>
        </w:rPr>
      </w:pPr>
      <w:r w:rsidRPr="00681F70">
        <w:rPr>
          <w:szCs w:val="28"/>
          <w:lang w:val="en-GB"/>
        </w:rPr>
        <w:t>The</w:t>
      </w:r>
      <w:r w:rsidR="00681F70" w:rsidRPr="00681F70">
        <w:rPr>
          <w:szCs w:val="28"/>
          <w:lang w:val="en-GB"/>
        </w:rPr>
        <w:t>se</w:t>
      </w:r>
      <w:r w:rsidRPr="00681F70">
        <w:rPr>
          <w:szCs w:val="28"/>
          <w:lang w:val="en-GB"/>
        </w:rPr>
        <w:t xml:space="preserve"> increased costs have now begun to be passed onto customers. Price increases</w:t>
      </w:r>
      <w:r w:rsidR="00681F70" w:rsidRPr="00681F70">
        <w:rPr>
          <w:szCs w:val="28"/>
          <w:lang w:val="en-GB"/>
        </w:rPr>
        <w:t xml:space="preserve"> have thus far been limited, but industry reports price increases now being passed on to customers. Reports </w:t>
      </w:r>
      <w:r w:rsidRPr="00681F70">
        <w:rPr>
          <w:szCs w:val="28"/>
          <w:lang w:val="en-GB"/>
        </w:rPr>
        <w:t xml:space="preserve">of between 5-10% </w:t>
      </w:r>
      <w:r w:rsidR="00B740DC">
        <w:rPr>
          <w:szCs w:val="28"/>
          <w:lang w:val="en-GB"/>
        </w:rPr>
        <w:t xml:space="preserve">price increases </w:t>
      </w:r>
      <w:r w:rsidRPr="00681F70">
        <w:rPr>
          <w:szCs w:val="28"/>
          <w:lang w:val="en-GB"/>
        </w:rPr>
        <w:t xml:space="preserve">are now common across our industries.   </w:t>
      </w:r>
    </w:p>
    <w:p w14:paraId="4AAAF6DF" w14:textId="77777777" w:rsidR="00681F70" w:rsidRDefault="00681F70" w:rsidP="00185CD8">
      <w:pPr>
        <w:pStyle w:val="ListParagraph"/>
        <w:numPr>
          <w:ilvl w:val="0"/>
          <w:numId w:val="14"/>
        </w:numPr>
        <w:jc w:val="both"/>
        <w:rPr>
          <w:szCs w:val="28"/>
          <w:lang w:val="en-GB"/>
        </w:rPr>
      </w:pPr>
      <w:r>
        <w:rPr>
          <w:szCs w:val="28"/>
          <w:lang w:val="en-GB"/>
        </w:rPr>
        <w:t>Export into the EU</w:t>
      </w:r>
      <w:r w:rsidR="00B740DC">
        <w:rPr>
          <w:szCs w:val="28"/>
          <w:lang w:val="en-GB"/>
        </w:rPr>
        <w:t xml:space="preserve"> 27</w:t>
      </w:r>
      <w:r>
        <w:rPr>
          <w:szCs w:val="28"/>
          <w:lang w:val="en-GB"/>
        </w:rPr>
        <w:t xml:space="preserve"> have increased in line with the currency variations. </w:t>
      </w:r>
    </w:p>
    <w:p w14:paraId="1BCDB6DC" w14:textId="77777777" w:rsidR="00681F70" w:rsidRDefault="00681F70" w:rsidP="00185CD8">
      <w:pPr>
        <w:pStyle w:val="ListParagraph"/>
        <w:numPr>
          <w:ilvl w:val="0"/>
          <w:numId w:val="14"/>
        </w:numPr>
        <w:jc w:val="both"/>
        <w:rPr>
          <w:szCs w:val="28"/>
          <w:lang w:val="en-GB"/>
        </w:rPr>
      </w:pPr>
      <w:r>
        <w:rPr>
          <w:szCs w:val="28"/>
          <w:lang w:val="en-GB"/>
        </w:rPr>
        <w:t>Turnover of companies has increased in line with the higher costs of doing business.</w:t>
      </w:r>
    </w:p>
    <w:p w14:paraId="3DECD456" w14:textId="77777777" w:rsidR="00681F70" w:rsidRPr="00681F70" w:rsidRDefault="00681F70" w:rsidP="00185CD8">
      <w:pPr>
        <w:pStyle w:val="ListParagraph"/>
        <w:numPr>
          <w:ilvl w:val="0"/>
          <w:numId w:val="14"/>
        </w:numPr>
        <w:jc w:val="both"/>
        <w:rPr>
          <w:szCs w:val="28"/>
          <w:lang w:val="en-GB"/>
        </w:rPr>
      </w:pPr>
      <w:r>
        <w:rPr>
          <w:szCs w:val="28"/>
          <w:lang w:val="en-GB"/>
        </w:rPr>
        <w:t xml:space="preserve">Anecdotal evidence on investment intentions is varied, and is unlikely </w:t>
      </w:r>
      <w:r w:rsidR="00AD3DFD">
        <w:rPr>
          <w:szCs w:val="28"/>
          <w:lang w:val="en-GB"/>
        </w:rPr>
        <w:t xml:space="preserve">to </w:t>
      </w:r>
      <w:r>
        <w:rPr>
          <w:szCs w:val="28"/>
          <w:lang w:val="en-GB"/>
        </w:rPr>
        <w:t xml:space="preserve">settle until later in the leaving process. </w:t>
      </w:r>
    </w:p>
    <w:p w14:paraId="419ACCD8" w14:textId="7AF6176C" w:rsidR="00CF0453" w:rsidRDefault="00681F70" w:rsidP="00185CD8">
      <w:pPr>
        <w:jc w:val="both"/>
        <w:rPr>
          <w:szCs w:val="28"/>
          <w:lang w:val="en-GB"/>
        </w:rPr>
      </w:pPr>
      <w:r>
        <w:rPr>
          <w:szCs w:val="28"/>
          <w:lang w:val="en-GB"/>
        </w:rPr>
        <w:t>The statistics collected by the TAs on behalf of industry</w:t>
      </w:r>
      <w:r w:rsidR="00CF0453">
        <w:rPr>
          <w:szCs w:val="28"/>
          <w:lang w:val="en-GB"/>
        </w:rPr>
        <w:t xml:space="preserve"> are focusing more o</w:t>
      </w:r>
      <w:r w:rsidR="001C129F">
        <w:rPr>
          <w:szCs w:val="28"/>
          <w:lang w:val="en-GB"/>
        </w:rPr>
        <w:t>n</w:t>
      </w:r>
      <w:r w:rsidR="00CF0453">
        <w:rPr>
          <w:szCs w:val="28"/>
          <w:lang w:val="en-GB"/>
        </w:rPr>
        <w:t xml:space="preserve"> the impact of the Brexit vote, and will be a vital monitor on the effects of the leaving process over the next 27 months. Initial conclusions based on 6 months </w:t>
      </w:r>
      <w:r w:rsidR="00AD3DFD">
        <w:rPr>
          <w:szCs w:val="28"/>
          <w:lang w:val="en-GB"/>
        </w:rPr>
        <w:t xml:space="preserve">of </w:t>
      </w:r>
      <w:r w:rsidR="00CF0453">
        <w:rPr>
          <w:szCs w:val="28"/>
          <w:lang w:val="en-GB"/>
        </w:rPr>
        <w:t xml:space="preserve">data are limited, but as the collected data increases a clear picture of the effects on the EURIS industries will emerge. </w:t>
      </w:r>
    </w:p>
    <w:p w14:paraId="6AB15FFF" w14:textId="77777777" w:rsidR="00AC010F" w:rsidRDefault="00CF0453" w:rsidP="00185CD8">
      <w:pPr>
        <w:jc w:val="both"/>
        <w:rPr>
          <w:szCs w:val="28"/>
          <w:lang w:val="en-GB"/>
        </w:rPr>
      </w:pPr>
      <w:r>
        <w:rPr>
          <w:szCs w:val="28"/>
          <w:lang w:val="en-GB"/>
        </w:rPr>
        <w:t>Many</w:t>
      </w:r>
      <w:r w:rsidR="00681F70">
        <w:rPr>
          <w:szCs w:val="28"/>
          <w:lang w:val="en-GB"/>
        </w:rPr>
        <w:t xml:space="preserve"> companies are curren</w:t>
      </w:r>
      <w:r>
        <w:rPr>
          <w:szCs w:val="28"/>
          <w:lang w:val="en-GB"/>
        </w:rPr>
        <w:t>tly developing their policies for</w:t>
      </w:r>
      <w:r w:rsidR="00681F70">
        <w:rPr>
          <w:szCs w:val="28"/>
          <w:lang w:val="en-GB"/>
        </w:rPr>
        <w:t xml:space="preserve"> the future, </w:t>
      </w:r>
      <w:r>
        <w:rPr>
          <w:szCs w:val="28"/>
          <w:lang w:val="en-GB"/>
        </w:rPr>
        <w:t>based on their experiences in the first 6 months, and by the developing policy landscape. The cooperating Trade bodies will be report</w:t>
      </w:r>
      <w:r w:rsidR="00AD3DFD">
        <w:rPr>
          <w:szCs w:val="28"/>
          <w:lang w:val="en-GB"/>
        </w:rPr>
        <w:t>ing</w:t>
      </w:r>
      <w:r>
        <w:rPr>
          <w:szCs w:val="28"/>
          <w:lang w:val="en-GB"/>
        </w:rPr>
        <w:t xml:space="preserve"> on the changes that develop, with the impact on the UK economy. </w:t>
      </w:r>
    </w:p>
    <w:p w14:paraId="31BC9833" w14:textId="77777777" w:rsidR="00CF0453" w:rsidRDefault="00CF0453" w:rsidP="00185CD8">
      <w:pPr>
        <w:spacing w:after="160" w:line="259" w:lineRule="auto"/>
        <w:jc w:val="both"/>
        <w:rPr>
          <w:szCs w:val="28"/>
          <w:lang w:val="en-GB"/>
        </w:rPr>
      </w:pPr>
      <w:r>
        <w:rPr>
          <w:szCs w:val="28"/>
          <w:lang w:val="en-GB"/>
        </w:rPr>
        <w:br w:type="page"/>
      </w:r>
    </w:p>
    <w:p w14:paraId="2B2798D9" w14:textId="77777777" w:rsidR="00F5680D" w:rsidRDefault="00F5680D" w:rsidP="00185CD8">
      <w:pPr>
        <w:jc w:val="both"/>
        <w:rPr>
          <w:b/>
          <w:szCs w:val="28"/>
          <w:lang w:val="en-GB"/>
        </w:rPr>
      </w:pPr>
    </w:p>
    <w:p w14:paraId="291F78C7" w14:textId="77777777" w:rsidR="00CF0453" w:rsidRPr="00620666" w:rsidRDefault="00CF0453" w:rsidP="00185CD8">
      <w:pPr>
        <w:jc w:val="both"/>
        <w:rPr>
          <w:b/>
          <w:szCs w:val="28"/>
          <w:lang w:val="en-GB"/>
        </w:rPr>
      </w:pPr>
      <w:r w:rsidRPr="00620666">
        <w:rPr>
          <w:b/>
          <w:szCs w:val="28"/>
          <w:lang w:val="en-GB"/>
        </w:rPr>
        <w:t>Part 3</w:t>
      </w:r>
      <w:r w:rsidR="001B6423">
        <w:rPr>
          <w:b/>
          <w:szCs w:val="28"/>
          <w:lang w:val="en-GB"/>
        </w:rPr>
        <w:tab/>
      </w:r>
      <w:r w:rsidRPr="00620666">
        <w:rPr>
          <w:b/>
          <w:szCs w:val="28"/>
          <w:lang w:val="en-GB"/>
        </w:rPr>
        <w:t>The surveys and reports generated by BEAMA, GAMBICA and other TAs</w:t>
      </w:r>
    </w:p>
    <w:p w14:paraId="376929C2" w14:textId="77777777" w:rsidR="00CF0453" w:rsidRDefault="00CF0453" w:rsidP="00185CD8">
      <w:pPr>
        <w:jc w:val="both"/>
        <w:rPr>
          <w:szCs w:val="28"/>
          <w:lang w:val="en-GB"/>
        </w:rPr>
      </w:pPr>
      <w:r>
        <w:rPr>
          <w:szCs w:val="28"/>
          <w:lang w:val="en-GB"/>
        </w:rPr>
        <w:t xml:space="preserve">Following the Referendum in June 2016, all the Trade associations in EURIS have consulted with their members on the short and longer term implications of the resultant Brexit process. The survey results and </w:t>
      </w:r>
      <w:r w:rsidR="00F00397">
        <w:rPr>
          <w:szCs w:val="28"/>
          <w:lang w:val="en-GB"/>
        </w:rPr>
        <w:t xml:space="preserve">reports are summarised with detailed positions in the Annexes. </w:t>
      </w:r>
    </w:p>
    <w:p w14:paraId="5873CB8C" w14:textId="77777777" w:rsidR="00F00397" w:rsidRPr="00185CD8" w:rsidRDefault="00F00397" w:rsidP="00185CD8">
      <w:pPr>
        <w:jc w:val="both"/>
        <w:rPr>
          <w:b/>
          <w:szCs w:val="28"/>
          <w:lang w:val="en-GB"/>
        </w:rPr>
      </w:pPr>
      <w:r w:rsidRPr="00185CD8">
        <w:rPr>
          <w:b/>
          <w:szCs w:val="28"/>
          <w:lang w:val="en-GB"/>
        </w:rPr>
        <w:t>Member surveys</w:t>
      </w:r>
    </w:p>
    <w:p w14:paraId="6D548C0E" w14:textId="4DED94C7" w:rsidR="00F00397" w:rsidRPr="00185CD8" w:rsidRDefault="00F00397" w:rsidP="00524A24">
      <w:pPr>
        <w:pStyle w:val="ListParagraph"/>
        <w:numPr>
          <w:ilvl w:val="0"/>
          <w:numId w:val="18"/>
        </w:numPr>
        <w:jc w:val="both"/>
        <w:rPr>
          <w:b/>
          <w:szCs w:val="28"/>
          <w:lang w:val="en-GB"/>
        </w:rPr>
      </w:pPr>
      <w:r w:rsidRPr="00185CD8">
        <w:rPr>
          <w:b/>
          <w:szCs w:val="28"/>
          <w:lang w:val="en-GB"/>
        </w:rPr>
        <w:t xml:space="preserve">GAMBICA – overall impact survey </w:t>
      </w:r>
      <w:r w:rsidR="004D76A3" w:rsidRPr="00185CD8">
        <w:rPr>
          <w:b/>
          <w:szCs w:val="28"/>
          <w:lang w:val="en-GB"/>
        </w:rPr>
        <w:t xml:space="preserve">September </w:t>
      </w:r>
      <w:r w:rsidRPr="00185CD8">
        <w:rPr>
          <w:b/>
          <w:szCs w:val="28"/>
          <w:lang w:val="en-GB"/>
        </w:rPr>
        <w:t>2016</w:t>
      </w:r>
    </w:p>
    <w:p w14:paraId="5F8DD8E4" w14:textId="77777777" w:rsidR="004D76A3" w:rsidRPr="004D76A3" w:rsidRDefault="004D76A3" w:rsidP="00185CD8">
      <w:pPr>
        <w:ind w:left="720"/>
        <w:jc w:val="both"/>
        <w:rPr>
          <w:szCs w:val="28"/>
          <w:lang w:val="en-GB"/>
        </w:rPr>
      </w:pPr>
      <w:r w:rsidRPr="004D76A3">
        <w:rPr>
          <w:szCs w:val="28"/>
          <w:lang w:val="en-GB"/>
        </w:rPr>
        <w:t>GAMBICA ran a survey with member companies to establish their priorities and actions following the UK voting to leave the European Union on 23rd June 2016. This report analyses the results of the survey.</w:t>
      </w:r>
    </w:p>
    <w:p w14:paraId="5FC67A91" w14:textId="77777777" w:rsidR="004D76A3" w:rsidRPr="004D76A3" w:rsidRDefault="004D76A3" w:rsidP="00185CD8">
      <w:pPr>
        <w:ind w:left="720"/>
        <w:jc w:val="both"/>
        <w:rPr>
          <w:szCs w:val="28"/>
          <w:lang w:val="en-GB"/>
        </w:rPr>
      </w:pPr>
      <w:r w:rsidRPr="004D76A3">
        <w:rPr>
          <w:szCs w:val="28"/>
          <w:lang w:val="en-GB"/>
        </w:rPr>
        <w:t>In terms of priorities, Access to the Single Market came out as highest by a clear margin, ranked number one by 79% of participants and in the top 3 by 92% of participants. It was also ranked number one priority by all sizes of company and both manufacturers and non-manufacturers.</w:t>
      </w:r>
    </w:p>
    <w:p w14:paraId="5C59016A" w14:textId="77777777" w:rsidR="004D76A3" w:rsidRPr="004D76A3" w:rsidRDefault="004D76A3" w:rsidP="00185CD8">
      <w:pPr>
        <w:ind w:left="720"/>
        <w:jc w:val="both"/>
        <w:rPr>
          <w:szCs w:val="28"/>
          <w:lang w:val="en-GB"/>
        </w:rPr>
      </w:pPr>
      <w:r w:rsidRPr="004D76A3">
        <w:rPr>
          <w:szCs w:val="28"/>
          <w:lang w:val="en-GB"/>
        </w:rPr>
        <w:t>Access to Skilled Workers came out as the next priority, especially for manufacturers and medium / large companies. Influence on Standards was also in the top 3, for both small and large companies and again particularly for manufacturers.</w:t>
      </w:r>
    </w:p>
    <w:p w14:paraId="5D981932" w14:textId="77777777" w:rsidR="00185CD8" w:rsidRDefault="004D76A3" w:rsidP="00524A24">
      <w:pPr>
        <w:ind w:left="720"/>
        <w:jc w:val="both"/>
        <w:rPr>
          <w:szCs w:val="28"/>
          <w:lang w:val="en-GB"/>
        </w:rPr>
      </w:pPr>
      <w:r w:rsidRPr="00185CD8">
        <w:rPr>
          <w:szCs w:val="28"/>
          <w:lang w:val="en-GB"/>
        </w:rPr>
        <w:t>In terms of actions in the shorter term, there was a theme of employment freezes, exchange rate monitoring and postponements of investment decisions. Longer term, the high level of uncertainty is a cause for questioning future investment, expansion and partnerships.</w:t>
      </w:r>
    </w:p>
    <w:p w14:paraId="66D154F8" w14:textId="5012E398" w:rsidR="00E40A1C" w:rsidRPr="00185CD8" w:rsidRDefault="00185CD8" w:rsidP="00414862">
      <w:pPr>
        <w:ind w:left="426"/>
        <w:jc w:val="both"/>
        <w:rPr>
          <w:b/>
          <w:lang w:val="en-GB"/>
        </w:rPr>
      </w:pPr>
      <w:r w:rsidRPr="00185CD8">
        <w:rPr>
          <w:b/>
          <w:szCs w:val="28"/>
          <w:lang w:val="en-GB"/>
        </w:rPr>
        <w:t>2.</w:t>
      </w:r>
      <w:r w:rsidRPr="00185CD8">
        <w:rPr>
          <w:b/>
          <w:szCs w:val="28"/>
          <w:lang w:val="en-GB"/>
        </w:rPr>
        <w:tab/>
      </w:r>
      <w:r w:rsidR="00F00397" w:rsidRPr="00185CD8">
        <w:rPr>
          <w:b/>
          <w:lang w:val="en-GB"/>
        </w:rPr>
        <w:t>GAMBICA/BEAMA WTO survey January 2017</w:t>
      </w:r>
    </w:p>
    <w:p w14:paraId="07B5A1F0" w14:textId="7FB215A8" w:rsidR="00E40A1C" w:rsidRDefault="007D4E29" w:rsidP="00185CD8">
      <w:pPr>
        <w:ind w:left="720"/>
        <w:jc w:val="both"/>
        <w:rPr>
          <w:szCs w:val="28"/>
          <w:lang w:val="en-GB"/>
        </w:rPr>
      </w:pPr>
      <w:r>
        <w:rPr>
          <w:szCs w:val="28"/>
          <w:lang w:val="en-GB"/>
        </w:rPr>
        <w:t>During January 2017, GAMBICA and BEAMA ran a survey to determine how members thought that WTO trading rules would impact their business.</w:t>
      </w:r>
    </w:p>
    <w:p w14:paraId="5E12209E" w14:textId="77777777" w:rsidR="00276DBD" w:rsidRDefault="00276DBD" w:rsidP="00276DBD">
      <w:pPr>
        <w:ind w:left="720"/>
        <w:jc w:val="both"/>
        <w:rPr>
          <w:szCs w:val="28"/>
          <w:lang w:val="en-GB"/>
        </w:rPr>
      </w:pPr>
      <w:r>
        <w:rPr>
          <w:szCs w:val="28"/>
          <w:lang w:val="en-GB"/>
        </w:rPr>
        <w:t>In summary, EURIS industries import more from the EU than they export and think this ratio is likely to increase in the next 3 years.</w:t>
      </w:r>
    </w:p>
    <w:p w14:paraId="787A4295" w14:textId="319B3821" w:rsidR="00276DBD" w:rsidRPr="00E6433C" w:rsidRDefault="00276DBD" w:rsidP="00276DBD">
      <w:pPr>
        <w:pStyle w:val="ListParagraph"/>
        <w:numPr>
          <w:ilvl w:val="0"/>
          <w:numId w:val="21"/>
        </w:numPr>
        <w:jc w:val="both"/>
        <w:rPr>
          <w:b/>
          <w:szCs w:val="28"/>
          <w:lang w:val="en-GB"/>
        </w:rPr>
      </w:pPr>
      <w:r w:rsidRPr="00E6433C">
        <w:rPr>
          <w:b/>
          <w:szCs w:val="28"/>
          <w:lang w:val="en-GB"/>
        </w:rPr>
        <w:t>We have more importers (91</w:t>
      </w:r>
      <w:r w:rsidR="0022481F" w:rsidRPr="00E6433C">
        <w:rPr>
          <w:b/>
          <w:szCs w:val="28"/>
          <w:lang w:val="en-GB"/>
        </w:rPr>
        <w:t>% of members) than exporters (77</w:t>
      </w:r>
      <w:r w:rsidRPr="00E6433C">
        <w:rPr>
          <w:b/>
          <w:szCs w:val="28"/>
          <w:lang w:val="en-GB"/>
        </w:rPr>
        <w:t>% of members)</w:t>
      </w:r>
    </w:p>
    <w:p w14:paraId="055951A2" w14:textId="7ECD92C1" w:rsidR="00276DBD" w:rsidRPr="00E6433C" w:rsidRDefault="0022481F" w:rsidP="00276DBD">
      <w:pPr>
        <w:pStyle w:val="ListParagraph"/>
        <w:numPr>
          <w:ilvl w:val="0"/>
          <w:numId w:val="21"/>
        </w:numPr>
        <w:jc w:val="both"/>
        <w:rPr>
          <w:b/>
          <w:szCs w:val="28"/>
          <w:lang w:val="en-GB"/>
        </w:rPr>
      </w:pPr>
      <w:r w:rsidRPr="00E6433C">
        <w:rPr>
          <w:b/>
          <w:szCs w:val="28"/>
          <w:lang w:val="en-GB"/>
        </w:rPr>
        <w:t>54</w:t>
      </w:r>
      <w:r w:rsidR="00276DBD" w:rsidRPr="00E6433C">
        <w:rPr>
          <w:b/>
          <w:szCs w:val="28"/>
          <w:lang w:val="en-GB"/>
        </w:rPr>
        <w:t>% of importer</w:t>
      </w:r>
      <w:r w:rsidRPr="00E6433C">
        <w:rPr>
          <w:b/>
          <w:szCs w:val="28"/>
          <w:lang w:val="en-GB"/>
        </w:rPr>
        <w:t>s also re-export, 46</w:t>
      </w:r>
      <w:r w:rsidR="00276DBD" w:rsidRPr="00E6433C">
        <w:rPr>
          <w:b/>
          <w:szCs w:val="28"/>
          <w:lang w:val="en-GB"/>
        </w:rPr>
        <w:t>% re-exporting to the EU</w:t>
      </w:r>
    </w:p>
    <w:p w14:paraId="4E9D5EEF" w14:textId="29E90447" w:rsidR="00276DBD" w:rsidRPr="00E6433C" w:rsidRDefault="0022481F" w:rsidP="00276DBD">
      <w:pPr>
        <w:pStyle w:val="ListParagraph"/>
        <w:numPr>
          <w:ilvl w:val="0"/>
          <w:numId w:val="21"/>
        </w:numPr>
        <w:jc w:val="both"/>
        <w:rPr>
          <w:b/>
          <w:szCs w:val="28"/>
          <w:lang w:val="en-GB"/>
        </w:rPr>
      </w:pPr>
      <w:r w:rsidRPr="00E6433C">
        <w:rPr>
          <w:b/>
          <w:szCs w:val="28"/>
          <w:lang w:val="en-GB"/>
        </w:rPr>
        <w:t>Higher value of imports (32% of turnover) than exports (16</w:t>
      </w:r>
      <w:r w:rsidR="00276DBD" w:rsidRPr="00E6433C">
        <w:rPr>
          <w:b/>
          <w:szCs w:val="28"/>
          <w:lang w:val="en-GB"/>
        </w:rPr>
        <w:t>% of turnover)</w:t>
      </w:r>
    </w:p>
    <w:p w14:paraId="064FE1AD" w14:textId="7FA2720A" w:rsidR="00276DBD" w:rsidRPr="00E6433C" w:rsidRDefault="00276DBD" w:rsidP="00276DBD">
      <w:pPr>
        <w:pStyle w:val="ListParagraph"/>
        <w:numPr>
          <w:ilvl w:val="0"/>
          <w:numId w:val="21"/>
        </w:numPr>
        <w:jc w:val="both"/>
        <w:rPr>
          <w:b/>
          <w:szCs w:val="28"/>
          <w:lang w:val="en-GB"/>
        </w:rPr>
      </w:pPr>
      <w:r w:rsidRPr="00E6433C">
        <w:rPr>
          <w:b/>
          <w:szCs w:val="28"/>
          <w:lang w:val="en-GB"/>
        </w:rPr>
        <w:t>Higher valu</w:t>
      </w:r>
      <w:r w:rsidR="0022481F" w:rsidRPr="00E6433C">
        <w:rPr>
          <w:b/>
          <w:szCs w:val="28"/>
          <w:lang w:val="en-GB"/>
        </w:rPr>
        <w:t>e of EU imports (26</w:t>
      </w:r>
      <w:r w:rsidRPr="00E6433C">
        <w:rPr>
          <w:b/>
          <w:szCs w:val="28"/>
          <w:lang w:val="en-GB"/>
        </w:rPr>
        <w:t xml:space="preserve">% </w:t>
      </w:r>
      <w:r w:rsidR="0022481F" w:rsidRPr="00E6433C">
        <w:rPr>
          <w:b/>
          <w:szCs w:val="28"/>
          <w:lang w:val="en-GB"/>
        </w:rPr>
        <w:t>of turnover) than EU exports (8</w:t>
      </w:r>
      <w:r w:rsidRPr="00E6433C">
        <w:rPr>
          <w:b/>
          <w:szCs w:val="28"/>
          <w:lang w:val="en-GB"/>
        </w:rPr>
        <w:t>% of turnover)</w:t>
      </w:r>
    </w:p>
    <w:p w14:paraId="41915E13" w14:textId="35F5E9AD" w:rsidR="00276DBD" w:rsidRPr="00E6433C" w:rsidRDefault="00276DBD" w:rsidP="00276DBD">
      <w:pPr>
        <w:pStyle w:val="ListParagraph"/>
        <w:numPr>
          <w:ilvl w:val="0"/>
          <w:numId w:val="21"/>
        </w:numPr>
        <w:jc w:val="both"/>
        <w:rPr>
          <w:b/>
          <w:szCs w:val="28"/>
          <w:lang w:val="en-GB"/>
        </w:rPr>
      </w:pPr>
      <w:r w:rsidRPr="00E6433C">
        <w:rPr>
          <w:b/>
          <w:szCs w:val="28"/>
          <w:lang w:val="en-GB"/>
        </w:rPr>
        <w:t>Higher lik</w:t>
      </w:r>
      <w:r w:rsidR="0022481F" w:rsidRPr="00E6433C">
        <w:rPr>
          <w:b/>
          <w:szCs w:val="28"/>
          <w:lang w:val="en-GB"/>
        </w:rPr>
        <w:t>elihood of increased imports (27</w:t>
      </w:r>
      <w:r w:rsidRPr="00E6433C">
        <w:rPr>
          <w:b/>
          <w:szCs w:val="28"/>
          <w:lang w:val="en-GB"/>
        </w:rPr>
        <w:t>%) than increased</w:t>
      </w:r>
      <w:r w:rsidR="0022481F" w:rsidRPr="00E6433C">
        <w:rPr>
          <w:b/>
          <w:szCs w:val="28"/>
          <w:lang w:val="en-GB"/>
        </w:rPr>
        <w:t xml:space="preserve"> exports (24</w:t>
      </w:r>
      <w:r w:rsidRPr="00E6433C">
        <w:rPr>
          <w:b/>
          <w:szCs w:val="28"/>
          <w:lang w:val="en-GB"/>
        </w:rPr>
        <w:t>%)</w:t>
      </w:r>
    </w:p>
    <w:p w14:paraId="361251C3" w14:textId="59EC1ED4" w:rsidR="0022481F" w:rsidRPr="00E6433C" w:rsidRDefault="0022481F" w:rsidP="00276DBD">
      <w:pPr>
        <w:pStyle w:val="ListParagraph"/>
        <w:numPr>
          <w:ilvl w:val="0"/>
          <w:numId w:val="21"/>
        </w:numPr>
        <w:jc w:val="both"/>
        <w:rPr>
          <w:b/>
          <w:szCs w:val="28"/>
          <w:lang w:val="en-GB"/>
        </w:rPr>
      </w:pPr>
      <w:r w:rsidRPr="00E6433C">
        <w:rPr>
          <w:b/>
          <w:szCs w:val="28"/>
          <w:lang w:val="en-GB"/>
        </w:rPr>
        <w:t>32% of exporters saw significant differences between processes for EU and rest of world</w:t>
      </w:r>
    </w:p>
    <w:p w14:paraId="5267A047" w14:textId="62D33D80" w:rsidR="0022481F" w:rsidRPr="00E6433C" w:rsidRDefault="0022481F" w:rsidP="00276DBD">
      <w:pPr>
        <w:pStyle w:val="ListParagraph"/>
        <w:numPr>
          <w:ilvl w:val="0"/>
          <w:numId w:val="21"/>
        </w:numPr>
        <w:jc w:val="both"/>
        <w:rPr>
          <w:b/>
          <w:szCs w:val="28"/>
          <w:lang w:val="en-GB"/>
        </w:rPr>
      </w:pPr>
      <w:r w:rsidRPr="00E6433C">
        <w:rPr>
          <w:b/>
          <w:szCs w:val="28"/>
          <w:lang w:val="en-GB"/>
        </w:rPr>
        <w:t>75% of participants saw no potential benefit of fewer regulations from EU</w:t>
      </w:r>
    </w:p>
    <w:p w14:paraId="00D2C989" w14:textId="217FAB4C" w:rsidR="00795730" w:rsidRDefault="00795730" w:rsidP="00185CD8">
      <w:pPr>
        <w:ind w:left="720"/>
        <w:jc w:val="both"/>
        <w:rPr>
          <w:szCs w:val="28"/>
          <w:lang w:val="en-GB"/>
        </w:rPr>
      </w:pPr>
      <w:r>
        <w:rPr>
          <w:szCs w:val="28"/>
          <w:lang w:val="en-GB"/>
        </w:rPr>
        <w:t>Participants were asked to rate the impact of WTO rules on their business from Very Positive to Very Negative. The average results can be seen in the table, where Trade tariffs and Cross frontier admin would have the most negative impact</w:t>
      </w:r>
      <w:r w:rsidR="00E6433C">
        <w:rPr>
          <w:szCs w:val="28"/>
          <w:lang w:val="en-GB"/>
        </w:rPr>
        <w:t>.</w:t>
      </w:r>
    </w:p>
    <w:p w14:paraId="318A3CF3" w14:textId="40577902" w:rsidR="00795730" w:rsidRPr="00E40A1C" w:rsidRDefault="0022481F" w:rsidP="00185CD8">
      <w:pPr>
        <w:ind w:left="720"/>
        <w:jc w:val="both"/>
        <w:rPr>
          <w:szCs w:val="28"/>
          <w:lang w:val="en-GB"/>
        </w:rPr>
      </w:pPr>
      <w:r>
        <w:rPr>
          <w:noProof/>
          <w:szCs w:val="28"/>
          <w:lang w:val="en-GB" w:eastAsia="en-GB"/>
        </w:rPr>
        <w:lastRenderedPageBreak/>
        <w:drawing>
          <wp:inline distT="0" distB="0" distL="0" distR="0" wp14:anchorId="3D3A801D" wp14:editId="4A35A4B6">
            <wp:extent cx="5673600" cy="3538800"/>
            <wp:effectExtent l="0" t="0" r="381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73600" cy="3538800"/>
                    </a:xfrm>
                    <a:prstGeom prst="rect">
                      <a:avLst/>
                    </a:prstGeom>
                    <a:noFill/>
                  </pic:spPr>
                </pic:pic>
              </a:graphicData>
            </a:graphic>
          </wp:inline>
        </w:drawing>
      </w:r>
    </w:p>
    <w:p w14:paraId="1F510841" w14:textId="77777777" w:rsidR="00E40A1C" w:rsidRPr="00185CD8" w:rsidRDefault="00E40A1C" w:rsidP="00524A24">
      <w:pPr>
        <w:pStyle w:val="ListParagraph"/>
        <w:numPr>
          <w:ilvl w:val="0"/>
          <w:numId w:val="19"/>
        </w:numPr>
        <w:jc w:val="both"/>
        <w:rPr>
          <w:b/>
          <w:szCs w:val="28"/>
          <w:lang w:val="en-GB"/>
        </w:rPr>
      </w:pPr>
      <w:r w:rsidRPr="00185CD8">
        <w:rPr>
          <w:b/>
          <w:szCs w:val="28"/>
          <w:lang w:val="en-GB"/>
        </w:rPr>
        <w:t>EAMA survey</w:t>
      </w:r>
      <w:r w:rsidR="00EE037D" w:rsidRPr="00185CD8">
        <w:rPr>
          <w:b/>
          <w:szCs w:val="28"/>
          <w:lang w:val="en-GB"/>
        </w:rPr>
        <w:t>s</w:t>
      </w:r>
    </w:p>
    <w:p w14:paraId="02B659A8" w14:textId="77777777" w:rsidR="00E40A1C" w:rsidRDefault="00EE037D" w:rsidP="00185CD8">
      <w:pPr>
        <w:ind w:left="709" w:firstLine="11"/>
        <w:jc w:val="both"/>
        <w:rPr>
          <w:szCs w:val="28"/>
          <w:lang w:val="en-GB"/>
        </w:rPr>
      </w:pPr>
      <w:r>
        <w:rPr>
          <w:szCs w:val="28"/>
          <w:lang w:val="en-GB"/>
        </w:rPr>
        <w:t>EAMA have surveyed its members as part of their regular state of business reviews, and specifically on the short term effects of the Le</w:t>
      </w:r>
      <w:r w:rsidR="00AC6437">
        <w:rPr>
          <w:szCs w:val="28"/>
          <w:lang w:val="en-GB"/>
        </w:rPr>
        <w:t>a</w:t>
      </w:r>
      <w:r>
        <w:rPr>
          <w:szCs w:val="28"/>
          <w:lang w:val="en-GB"/>
        </w:rPr>
        <w:t xml:space="preserve">ve vote. </w:t>
      </w:r>
    </w:p>
    <w:p w14:paraId="289A280F" w14:textId="77777777" w:rsidR="00EE037D" w:rsidRDefault="00EE037D" w:rsidP="00185CD8">
      <w:pPr>
        <w:pStyle w:val="Default"/>
        <w:ind w:left="709" w:firstLine="11"/>
        <w:jc w:val="both"/>
        <w:rPr>
          <w:rFonts w:asciiTheme="minorHAnsi" w:hAnsiTheme="minorHAnsi"/>
          <w:sz w:val="22"/>
          <w:szCs w:val="22"/>
        </w:rPr>
      </w:pPr>
      <w:r w:rsidRPr="00EE037D">
        <w:rPr>
          <w:rFonts w:asciiTheme="minorHAnsi" w:hAnsiTheme="minorHAnsi"/>
          <w:sz w:val="22"/>
          <w:szCs w:val="22"/>
        </w:rPr>
        <w:t xml:space="preserve">The initial views of its members </w:t>
      </w:r>
      <w:r w:rsidR="00AC6437">
        <w:rPr>
          <w:rFonts w:asciiTheme="minorHAnsi" w:hAnsiTheme="minorHAnsi"/>
          <w:sz w:val="22"/>
          <w:szCs w:val="22"/>
        </w:rPr>
        <w:t>(9</w:t>
      </w:r>
      <w:r w:rsidR="00AC6437" w:rsidRPr="00AC6437">
        <w:rPr>
          <w:rFonts w:asciiTheme="minorHAnsi" w:hAnsiTheme="minorHAnsi"/>
          <w:sz w:val="22"/>
          <w:szCs w:val="22"/>
          <w:vertAlign w:val="superscript"/>
        </w:rPr>
        <w:t>th</w:t>
      </w:r>
      <w:r w:rsidR="00AC6437">
        <w:rPr>
          <w:rFonts w:asciiTheme="minorHAnsi" w:hAnsiTheme="minorHAnsi"/>
          <w:sz w:val="22"/>
          <w:szCs w:val="22"/>
        </w:rPr>
        <w:t xml:space="preserve"> November) </w:t>
      </w:r>
      <w:r w:rsidR="00C42DE4">
        <w:rPr>
          <w:rFonts w:asciiTheme="minorHAnsi" w:hAnsiTheme="minorHAnsi"/>
          <w:sz w:val="22"/>
          <w:szCs w:val="22"/>
        </w:rPr>
        <w:t>were:</w:t>
      </w:r>
    </w:p>
    <w:p w14:paraId="3CFF951E" w14:textId="77777777" w:rsidR="00EE037D" w:rsidRPr="00EE037D" w:rsidRDefault="00EE037D" w:rsidP="00185CD8">
      <w:pPr>
        <w:pStyle w:val="Default"/>
        <w:jc w:val="both"/>
        <w:rPr>
          <w:rFonts w:asciiTheme="minorHAnsi" w:hAnsiTheme="minorHAnsi"/>
          <w:sz w:val="22"/>
          <w:szCs w:val="22"/>
        </w:rPr>
      </w:pPr>
    </w:p>
    <w:p w14:paraId="34086193" w14:textId="77777777" w:rsidR="00EE037D" w:rsidRPr="00EE037D" w:rsidRDefault="00EE037D" w:rsidP="00185CD8">
      <w:pPr>
        <w:pStyle w:val="ListParagraph"/>
        <w:numPr>
          <w:ilvl w:val="0"/>
          <w:numId w:val="17"/>
        </w:numPr>
        <w:jc w:val="both"/>
        <w:rPr>
          <w:rFonts w:cs="Avalon"/>
          <w:color w:val="000000"/>
        </w:rPr>
      </w:pPr>
      <w:r w:rsidRPr="00EE037D">
        <w:rPr>
          <w:rStyle w:val="A3"/>
          <w:sz w:val="22"/>
          <w:szCs w:val="22"/>
        </w:rPr>
        <w:t>Post Brexit, mechanical and electronic engineering companies are looking forward to reduced regulation, but believe that access to the Single Market and skilled workers are more important issues that need to be maintained.</w:t>
      </w:r>
    </w:p>
    <w:p w14:paraId="40941314" w14:textId="77777777" w:rsidR="00EE037D" w:rsidRPr="00AC6437" w:rsidRDefault="00EE037D" w:rsidP="00185CD8">
      <w:pPr>
        <w:pStyle w:val="ListParagraph"/>
        <w:numPr>
          <w:ilvl w:val="0"/>
          <w:numId w:val="17"/>
        </w:numPr>
        <w:jc w:val="both"/>
        <w:rPr>
          <w:rStyle w:val="A3"/>
          <w:rFonts w:cstheme="minorBidi"/>
          <w:color w:val="auto"/>
          <w:sz w:val="22"/>
          <w:szCs w:val="22"/>
          <w:lang w:val="en-GB"/>
        </w:rPr>
      </w:pPr>
      <w:r w:rsidRPr="00EE037D">
        <w:rPr>
          <w:rStyle w:val="A3"/>
          <w:sz w:val="22"/>
          <w:szCs w:val="22"/>
        </w:rPr>
        <w:t>Basically</w:t>
      </w:r>
      <w:r w:rsidR="00DF3F7E">
        <w:rPr>
          <w:rStyle w:val="A3"/>
          <w:sz w:val="22"/>
          <w:szCs w:val="22"/>
        </w:rPr>
        <w:t>,</w:t>
      </w:r>
      <w:r w:rsidRPr="00EE037D">
        <w:rPr>
          <w:rStyle w:val="A3"/>
          <w:sz w:val="22"/>
          <w:szCs w:val="22"/>
        </w:rPr>
        <w:t xml:space="preserve"> manufacturers and non-manufacturers said access to the Single Market was their overwhelming number one priority with support around 80% and nothing else scored even double figures. Both also agreed that access to skilled workers was their second most important priority.</w:t>
      </w:r>
    </w:p>
    <w:p w14:paraId="0BACB578" w14:textId="77777777" w:rsidR="00AC6437" w:rsidRPr="00EE037D" w:rsidRDefault="00AC6437" w:rsidP="00185CD8">
      <w:pPr>
        <w:pStyle w:val="ListParagraph"/>
        <w:numPr>
          <w:ilvl w:val="0"/>
          <w:numId w:val="17"/>
        </w:numPr>
        <w:jc w:val="both"/>
        <w:rPr>
          <w:lang w:val="en-GB"/>
        </w:rPr>
      </w:pPr>
      <w:r>
        <w:rPr>
          <w:rStyle w:val="A3"/>
          <w:sz w:val="22"/>
          <w:szCs w:val="22"/>
        </w:rPr>
        <w:t>There w</w:t>
      </w:r>
      <w:r w:rsidR="00C42DE4">
        <w:rPr>
          <w:rStyle w:val="A3"/>
          <w:sz w:val="22"/>
          <w:szCs w:val="22"/>
        </w:rPr>
        <w:t xml:space="preserve">as also an </w:t>
      </w:r>
      <w:r>
        <w:rPr>
          <w:rStyle w:val="A3"/>
          <w:sz w:val="22"/>
          <w:szCs w:val="22"/>
        </w:rPr>
        <w:t xml:space="preserve">increase in exports at the time of the survey. </w:t>
      </w:r>
    </w:p>
    <w:p w14:paraId="7BBA6FD7" w14:textId="77777777" w:rsidR="00EE037D" w:rsidRPr="00E40A1C" w:rsidRDefault="00AC6437" w:rsidP="00185CD8">
      <w:pPr>
        <w:ind w:left="709" w:firstLine="11"/>
        <w:jc w:val="both"/>
        <w:rPr>
          <w:szCs w:val="28"/>
          <w:lang w:val="en-GB"/>
        </w:rPr>
      </w:pPr>
      <w:r>
        <w:rPr>
          <w:szCs w:val="28"/>
          <w:lang w:val="en-GB"/>
        </w:rPr>
        <w:t xml:space="preserve">The most recent state of industry survey was positive, based on the experiences of the previous 6 months. </w:t>
      </w:r>
    </w:p>
    <w:p w14:paraId="3A619499" w14:textId="77777777" w:rsidR="00E40A1C" w:rsidRPr="00185CD8" w:rsidRDefault="00E40A1C" w:rsidP="00524A24">
      <w:pPr>
        <w:pStyle w:val="ListParagraph"/>
        <w:numPr>
          <w:ilvl w:val="0"/>
          <w:numId w:val="19"/>
        </w:numPr>
        <w:jc w:val="both"/>
        <w:rPr>
          <w:b/>
          <w:szCs w:val="28"/>
          <w:lang w:val="en-GB"/>
        </w:rPr>
      </w:pPr>
      <w:r w:rsidRPr="00185CD8">
        <w:rPr>
          <w:b/>
          <w:szCs w:val="28"/>
          <w:lang w:val="en-GB"/>
        </w:rPr>
        <w:t>Other relevant surveys</w:t>
      </w:r>
    </w:p>
    <w:p w14:paraId="4C8E9769" w14:textId="77777777" w:rsidR="00E40A1C" w:rsidRDefault="00C42DE4" w:rsidP="00524A24">
      <w:pPr>
        <w:ind w:left="720"/>
        <w:jc w:val="both"/>
        <w:rPr>
          <w:szCs w:val="28"/>
          <w:lang w:val="en-GB"/>
        </w:rPr>
      </w:pPr>
      <w:r>
        <w:rPr>
          <w:szCs w:val="28"/>
          <w:lang w:val="en-GB"/>
        </w:rPr>
        <w:t>There are other industry surveys currently under development, and others will be initialled. These will be added to this initial list as they emerge.</w:t>
      </w:r>
    </w:p>
    <w:p w14:paraId="15536B38" w14:textId="77777777" w:rsidR="00C42DE4" w:rsidRDefault="00C42DE4" w:rsidP="00C42DE4">
      <w:pPr>
        <w:ind w:left="720"/>
        <w:jc w:val="both"/>
        <w:rPr>
          <w:szCs w:val="28"/>
          <w:lang w:val="en-GB"/>
        </w:rPr>
      </w:pPr>
    </w:p>
    <w:p w14:paraId="3C44EF2D" w14:textId="77777777" w:rsidR="00C42DE4" w:rsidRDefault="00C42DE4" w:rsidP="00C42DE4">
      <w:pPr>
        <w:ind w:left="720"/>
        <w:jc w:val="both"/>
        <w:rPr>
          <w:szCs w:val="28"/>
          <w:lang w:val="en-GB"/>
        </w:rPr>
      </w:pPr>
    </w:p>
    <w:p w14:paraId="3B987527" w14:textId="77777777" w:rsidR="00C42DE4" w:rsidRDefault="00C42DE4" w:rsidP="00C42DE4">
      <w:pPr>
        <w:ind w:left="720"/>
        <w:jc w:val="both"/>
        <w:rPr>
          <w:szCs w:val="28"/>
          <w:lang w:val="en-GB"/>
        </w:rPr>
      </w:pPr>
    </w:p>
    <w:p w14:paraId="342C2380" w14:textId="7AF33EF6" w:rsidR="00414862" w:rsidRPr="00414862" w:rsidRDefault="00414862" w:rsidP="00414862">
      <w:pPr>
        <w:jc w:val="both"/>
        <w:rPr>
          <w:b/>
          <w:szCs w:val="28"/>
          <w:lang w:val="en-GB"/>
        </w:rPr>
      </w:pPr>
      <w:r>
        <w:rPr>
          <w:b/>
          <w:szCs w:val="28"/>
          <w:lang w:val="en-GB"/>
        </w:rPr>
        <w:lastRenderedPageBreak/>
        <w:t>Association papers</w:t>
      </w:r>
    </w:p>
    <w:p w14:paraId="1C5AAB8F" w14:textId="590F2C5E" w:rsidR="00414862" w:rsidRDefault="00AE4ACC" w:rsidP="00414862">
      <w:pPr>
        <w:pStyle w:val="ListParagraph"/>
        <w:jc w:val="both"/>
        <w:rPr>
          <w:b/>
          <w:szCs w:val="28"/>
          <w:lang w:val="en-GB"/>
        </w:rPr>
      </w:pPr>
      <w:r>
        <w:rPr>
          <w:b/>
          <w:szCs w:val="28"/>
          <w:lang w:val="en-GB"/>
        </w:rPr>
        <w:t>Summaries</w:t>
      </w:r>
    </w:p>
    <w:p w14:paraId="5B082905" w14:textId="015A6BF4" w:rsidR="00185CD8" w:rsidRPr="00414862" w:rsidRDefault="00414862" w:rsidP="00414862">
      <w:pPr>
        <w:ind w:left="426"/>
        <w:jc w:val="both"/>
        <w:rPr>
          <w:b/>
          <w:szCs w:val="28"/>
          <w:lang w:val="en-GB"/>
        </w:rPr>
      </w:pPr>
      <w:r>
        <w:rPr>
          <w:b/>
          <w:szCs w:val="28"/>
          <w:lang w:val="en-GB"/>
        </w:rPr>
        <w:t>1</w:t>
      </w:r>
      <w:r>
        <w:rPr>
          <w:b/>
          <w:szCs w:val="28"/>
          <w:lang w:val="en-GB"/>
        </w:rPr>
        <w:tab/>
      </w:r>
      <w:r w:rsidR="00E40A1C" w:rsidRPr="00414862">
        <w:rPr>
          <w:b/>
          <w:szCs w:val="28"/>
          <w:lang w:val="en-GB"/>
        </w:rPr>
        <w:t>International Trade paper – originating from BEAMA</w:t>
      </w:r>
    </w:p>
    <w:p w14:paraId="631A7E81" w14:textId="77777777" w:rsidR="00185CD8" w:rsidRPr="00185CD8" w:rsidRDefault="00185CD8" w:rsidP="00185CD8">
      <w:pPr>
        <w:pStyle w:val="ListParagraph"/>
        <w:jc w:val="both"/>
        <w:rPr>
          <w:szCs w:val="28"/>
          <w:lang w:val="en-GB"/>
        </w:rPr>
      </w:pPr>
      <w:r w:rsidRPr="00185CD8">
        <w:rPr>
          <w:szCs w:val="28"/>
          <w:lang w:val="en-GB"/>
        </w:rPr>
        <w:t>Issues of concern from broader international trade include:</w:t>
      </w:r>
    </w:p>
    <w:p w14:paraId="0A7404F7" w14:textId="77777777" w:rsidR="00185CD8" w:rsidRPr="00185CD8" w:rsidRDefault="00185CD8" w:rsidP="00185CD8">
      <w:pPr>
        <w:pStyle w:val="ListParagraph"/>
        <w:jc w:val="both"/>
        <w:rPr>
          <w:szCs w:val="28"/>
          <w:lang w:val="en-GB"/>
        </w:rPr>
      </w:pPr>
    </w:p>
    <w:p w14:paraId="1FEF3300" w14:textId="77777777" w:rsidR="00185CD8" w:rsidRDefault="00185CD8" w:rsidP="00414862">
      <w:pPr>
        <w:pStyle w:val="ListParagraph"/>
        <w:numPr>
          <w:ilvl w:val="0"/>
          <w:numId w:val="20"/>
        </w:numPr>
        <w:ind w:left="1134"/>
        <w:jc w:val="both"/>
        <w:rPr>
          <w:szCs w:val="28"/>
          <w:lang w:val="en-GB"/>
        </w:rPr>
      </w:pPr>
      <w:r w:rsidRPr="00185CD8">
        <w:rPr>
          <w:szCs w:val="28"/>
          <w:lang w:val="en-GB"/>
        </w:rPr>
        <w:t>Difficulties in being subject to basic WTO provisions in a prolonged interim period between leaving the EU and agreement of trade agreements (noting typical</w:t>
      </w:r>
      <w:r>
        <w:rPr>
          <w:szCs w:val="28"/>
          <w:lang w:val="en-GB"/>
        </w:rPr>
        <w:t>ly</w:t>
      </w:r>
      <w:r w:rsidRPr="00185CD8">
        <w:rPr>
          <w:szCs w:val="28"/>
          <w:lang w:val="en-GB"/>
        </w:rPr>
        <w:t xml:space="preserve"> </w:t>
      </w:r>
      <w:r>
        <w:rPr>
          <w:szCs w:val="28"/>
          <w:lang w:val="en-GB"/>
        </w:rPr>
        <w:t>lengthy</w:t>
      </w:r>
      <w:r w:rsidRPr="00185CD8">
        <w:rPr>
          <w:szCs w:val="28"/>
          <w:lang w:val="en-GB"/>
        </w:rPr>
        <w:t xml:space="preserve"> period</w:t>
      </w:r>
      <w:r>
        <w:rPr>
          <w:szCs w:val="28"/>
          <w:lang w:val="en-GB"/>
        </w:rPr>
        <w:t>s</w:t>
      </w:r>
      <w:r w:rsidRPr="00185CD8">
        <w:rPr>
          <w:szCs w:val="28"/>
          <w:lang w:val="en-GB"/>
        </w:rPr>
        <w:t xml:space="preserve"> to agree these)</w:t>
      </w:r>
      <w:r>
        <w:rPr>
          <w:szCs w:val="28"/>
          <w:lang w:val="en-GB"/>
        </w:rPr>
        <w:t>.</w:t>
      </w:r>
    </w:p>
    <w:p w14:paraId="3684547A" w14:textId="77777777" w:rsidR="00185CD8" w:rsidRPr="00185CD8" w:rsidRDefault="00185CD8" w:rsidP="00414862">
      <w:pPr>
        <w:pStyle w:val="ListParagraph"/>
        <w:numPr>
          <w:ilvl w:val="0"/>
          <w:numId w:val="20"/>
        </w:numPr>
        <w:ind w:left="1134"/>
        <w:jc w:val="both"/>
        <w:rPr>
          <w:szCs w:val="28"/>
          <w:lang w:val="en-GB"/>
        </w:rPr>
      </w:pPr>
      <w:r>
        <w:rPr>
          <w:szCs w:val="28"/>
          <w:lang w:val="en-GB"/>
        </w:rPr>
        <w:t>Potential difficulties in agreeing free trade agreements in a world that is becoming more protectionist and prevalence of one-sided nature of agreements with major market</w:t>
      </w:r>
      <w:r w:rsidR="0003655F">
        <w:rPr>
          <w:szCs w:val="28"/>
          <w:lang w:val="en-GB"/>
        </w:rPr>
        <w:t>s</w:t>
      </w:r>
      <w:r>
        <w:rPr>
          <w:szCs w:val="28"/>
          <w:lang w:val="en-GB"/>
        </w:rPr>
        <w:t xml:space="preserve"> (e.g. China-Switzerland</w:t>
      </w:r>
      <w:r w:rsidR="0003655F">
        <w:rPr>
          <w:szCs w:val="28"/>
          <w:lang w:val="en-GB"/>
        </w:rPr>
        <w:t xml:space="preserve"> where China has up to 15 years to remove tariffs while the Swiss have to remove them immediately</w:t>
      </w:r>
      <w:r>
        <w:rPr>
          <w:szCs w:val="28"/>
          <w:lang w:val="en-GB"/>
        </w:rPr>
        <w:t>).</w:t>
      </w:r>
    </w:p>
    <w:p w14:paraId="0DA99F1F" w14:textId="77777777" w:rsidR="00185CD8" w:rsidRPr="00185CD8" w:rsidRDefault="00185CD8" w:rsidP="00414862">
      <w:pPr>
        <w:pStyle w:val="ListParagraph"/>
        <w:numPr>
          <w:ilvl w:val="0"/>
          <w:numId w:val="20"/>
        </w:numPr>
        <w:ind w:left="1134"/>
        <w:jc w:val="both"/>
        <w:rPr>
          <w:szCs w:val="28"/>
          <w:lang w:val="en-GB"/>
        </w:rPr>
      </w:pPr>
      <w:r w:rsidRPr="00185CD8">
        <w:rPr>
          <w:szCs w:val="28"/>
          <w:lang w:val="en-GB"/>
        </w:rPr>
        <w:t>Uncertainty over what WTO provisions will apply given that much of the UK’s WTO status is subsumed into the EU.</w:t>
      </w:r>
    </w:p>
    <w:p w14:paraId="3F4A10B9" w14:textId="0F368A5C" w:rsidR="00185CD8" w:rsidRDefault="00185CD8" w:rsidP="00414862">
      <w:pPr>
        <w:pStyle w:val="ListParagraph"/>
        <w:numPr>
          <w:ilvl w:val="0"/>
          <w:numId w:val="20"/>
        </w:numPr>
        <w:ind w:left="1134"/>
        <w:jc w:val="both"/>
        <w:rPr>
          <w:szCs w:val="28"/>
          <w:lang w:val="en-GB"/>
        </w:rPr>
      </w:pPr>
      <w:r w:rsidRPr="00185CD8">
        <w:rPr>
          <w:szCs w:val="28"/>
          <w:lang w:val="en-GB"/>
        </w:rPr>
        <w:t>Risk in new trade agreements granting concessions over technical compliance with safety and quality standards that will damage UK market in engineered products and prevent robust compliance requirements.</w:t>
      </w:r>
    </w:p>
    <w:p w14:paraId="3A66AF4F" w14:textId="15AEEF9B" w:rsidR="00E52C6E" w:rsidRPr="00185CD8" w:rsidRDefault="00E52C6E" w:rsidP="00414862">
      <w:pPr>
        <w:pStyle w:val="ListParagraph"/>
        <w:numPr>
          <w:ilvl w:val="0"/>
          <w:numId w:val="20"/>
        </w:numPr>
        <w:ind w:left="1134"/>
        <w:jc w:val="both"/>
        <w:rPr>
          <w:szCs w:val="28"/>
          <w:lang w:val="en-GB"/>
        </w:rPr>
      </w:pPr>
      <w:r>
        <w:rPr>
          <w:szCs w:val="28"/>
          <w:lang w:val="en-GB"/>
        </w:rPr>
        <w:t>Risk that granting equivalent status to non-EU standards in trade agreements will make the UK ineligible for participation in European standards making.</w:t>
      </w:r>
    </w:p>
    <w:p w14:paraId="17706658" w14:textId="77777777" w:rsidR="00185CD8" w:rsidRPr="00185CD8" w:rsidRDefault="00185CD8" w:rsidP="00414862">
      <w:pPr>
        <w:pStyle w:val="ListParagraph"/>
        <w:numPr>
          <w:ilvl w:val="0"/>
          <w:numId w:val="20"/>
        </w:numPr>
        <w:ind w:left="1134"/>
        <w:jc w:val="both"/>
        <w:rPr>
          <w:szCs w:val="28"/>
          <w:lang w:val="en-GB"/>
        </w:rPr>
      </w:pPr>
      <w:r w:rsidRPr="00185CD8">
        <w:rPr>
          <w:szCs w:val="28"/>
          <w:lang w:val="en-GB"/>
        </w:rPr>
        <w:t>Risk that new trade agreements will impose new requirements on UK manufacturers that conflict with existing UK and EU regulatory frameworks.</w:t>
      </w:r>
    </w:p>
    <w:p w14:paraId="4E130F57" w14:textId="77777777" w:rsidR="00185CD8" w:rsidRPr="00185CD8" w:rsidRDefault="00185CD8" w:rsidP="00414862">
      <w:pPr>
        <w:pStyle w:val="ListParagraph"/>
        <w:numPr>
          <w:ilvl w:val="0"/>
          <w:numId w:val="20"/>
        </w:numPr>
        <w:ind w:left="1134"/>
        <w:jc w:val="both"/>
        <w:rPr>
          <w:szCs w:val="28"/>
          <w:lang w:val="en-GB"/>
        </w:rPr>
      </w:pPr>
      <w:r w:rsidRPr="00185CD8">
        <w:rPr>
          <w:szCs w:val="28"/>
          <w:lang w:val="en-GB"/>
        </w:rPr>
        <w:t>Possibility of UK becoming a target for dumping of low value, low standard products.</w:t>
      </w:r>
    </w:p>
    <w:p w14:paraId="4C40607C" w14:textId="77777777" w:rsidR="00185CD8" w:rsidRDefault="00185CD8" w:rsidP="00524A24">
      <w:pPr>
        <w:pStyle w:val="ListParagraph"/>
        <w:jc w:val="both"/>
        <w:rPr>
          <w:szCs w:val="28"/>
          <w:lang w:val="en-GB"/>
        </w:rPr>
      </w:pPr>
    </w:p>
    <w:p w14:paraId="261403BB" w14:textId="2456AD1B" w:rsidR="00E40A1C" w:rsidRPr="00414862" w:rsidRDefault="00E40A1C" w:rsidP="00414862">
      <w:pPr>
        <w:pStyle w:val="ListParagraph"/>
        <w:numPr>
          <w:ilvl w:val="0"/>
          <w:numId w:val="22"/>
        </w:numPr>
        <w:jc w:val="both"/>
        <w:rPr>
          <w:b/>
          <w:szCs w:val="28"/>
          <w:lang w:val="en-GB"/>
        </w:rPr>
      </w:pPr>
      <w:r w:rsidRPr="00414862">
        <w:rPr>
          <w:b/>
          <w:szCs w:val="28"/>
          <w:lang w:val="en-GB"/>
        </w:rPr>
        <w:t>European Directives Paper – originating from BEAMA</w:t>
      </w:r>
    </w:p>
    <w:p w14:paraId="68DFF6FF" w14:textId="77777777" w:rsidR="00770335" w:rsidRDefault="001E5618" w:rsidP="00185CD8">
      <w:pPr>
        <w:ind w:left="360"/>
        <w:jc w:val="both"/>
        <w:rPr>
          <w:szCs w:val="28"/>
          <w:lang w:val="en-GB"/>
        </w:rPr>
      </w:pPr>
      <w:r>
        <w:rPr>
          <w:szCs w:val="28"/>
          <w:lang w:val="en-GB"/>
        </w:rPr>
        <w:t>This paper explores the options for companies</w:t>
      </w:r>
      <w:r w:rsidR="00770335">
        <w:rPr>
          <w:szCs w:val="28"/>
          <w:lang w:val="en-GB"/>
        </w:rPr>
        <w:t xml:space="preserve"> whose products and services are covered by European Directives. It concludes the following:</w:t>
      </w:r>
    </w:p>
    <w:p w14:paraId="73137B36" w14:textId="77777777" w:rsidR="001E5618" w:rsidRPr="00414862" w:rsidRDefault="00770335" w:rsidP="00414862">
      <w:pPr>
        <w:pStyle w:val="ListParagraph"/>
        <w:numPr>
          <w:ilvl w:val="1"/>
          <w:numId w:val="23"/>
        </w:numPr>
        <w:ind w:left="720"/>
        <w:jc w:val="both"/>
        <w:rPr>
          <w:szCs w:val="28"/>
          <w:lang w:val="en-GB"/>
        </w:rPr>
      </w:pPr>
      <w:r w:rsidRPr="00414862">
        <w:rPr>
          <w:szCs w:val="28"/>
          <w:lang w:val="en-GB"/>
        </w:rPr>
        <w:t xml:space="preserve">Any existing European Directives, associated legislation and standards need to be adhered to. Much if not all of this European </w:t>
      </w:r>
      <w:r w:rsidR="00DA56BB" w:rsidRPr="00414862">
        <w:rPr>
          <w:szCs w:val="28"/>
          <w:lang w:val="en-GB"/>
        </w:rPr>
        <w:t>legislation is</w:t>
      </w:r>
      <w:r w:rsidRPr="00414862">
        <w:rPr>
          <w:szCs w:val="28"/>
          <w:lang w:val="en-GB"/>
        </w:rPr>
        <w:t xml:space="preserve"> incorporated into UK legislation. Under the Government’s planned, ‘Great repeal act’</w:t>
      </w:r>
      <w:r w:rsidR="00DA56BB" w:rsidRPr="00414862">
        <w:rPr>
          <w:szCs w:val="28"/>
          <w:lang w:val="en-GB"/>
        </w:rPr>
        <w:t xml:space="preserve">, it expected that all legislation will remain UK regulations. </w:t>
      </w:r>
      <w:r w:rsidRPr="00414862">
        <w:rPr>
          <w:szCs w:val="28"/>
          <w:lang w:val="en-GB"/>
        </w:rPr>
        <w:t xml:space="preserve"> </w:t>
      </w:r>
    </w:p>
    <w:p w14:paraId="4D6ABA02" w14:textId="77777777" w:rsidR="00DA56BB" w:rsidRPr="00414862" w:rsidRDefault="00DA56BB" w:rsidP="00414862">
      <w:pPr>
        <w:pStyle w:val="ListParagraph"/>
        <w:numPr>
          <w:ilvl w:val="1"/>
          <w:numId w:val="23"/>
        </w:numPr>
        <w:ind w:left="720"/>
        <w:jc w:val="both"/>
        <w:rPr>
          <w:szCs w:val="28"/>
          <w:lang w:val="en-GB"/>
        </w:rPr>
      </w:pPr>
      <w:r w:rsidRPr="00414862">
        <w:rPr>
          <w:szCs w:val="28"/>
          <w:lang w:val="en-GB"/>
        </w:rPr>
        <w:t>Any Directive and subsequent legislation that is currently under development and due for implementation before April 2019 will receive the same inputs from UK industry representatives. If implemented in this timescale it will be treated as the existing legislation in a).</w:t>
      </w:r>
    </w:p>
    <w:p w14:paraId="126EAE14" w14:textId="77777777" w:rsidR="00DA56BB" w:rsidRPr="00414862" w:rsidRDefault="00DA56BB" w:rsidP="00414862">
      <w:pPr>
        <w:pStyle w:val="ListParagraph"/>
        <w:numPr>
          <w:ilvl w:val="1"/>
          <w:numId w:val="23"/>
        </w:numPr>
        <w:ind w:left="720"/>
        <w:jc w:val="both"/>
        <w:rPr>
          <w:szCs w:val="28"/>
          <w:lang w:val="en-GB"/>
        </w:rPr>
      </w:pPr>
      <w:r w:rsidRPr="00414862">
        <w:rPr>
          <w:szCs w:val="28"/>
          <w:lang w:val="en-GB"/>
        </w:rPr>
        <w:t xml:space="preserve">Directives and EU legislation due for implementation post April 2019 will need to be identified as to whether it’s adoption is essential for EURIS member companies to operate in the new post single market environment. It is assumed that for all product based legislation full adoption of these future Directives, and associated legislation and standards will be required. </w:t>
      </w:r>
    </w:p>
    <w:p w14:paraId="3B18F674" w14:textId="77777777" w:rsidR="008F4D7E" w:rsidRPr="00414862" w:rsidRDefault="00DA56BB" w:rsidP="00414862">
      <w:pPr>
        <w:pStyle w:val="ListParagraph"/>
        <w:numPr>
          <w:ilvl w:val="1"/>
          <w:numId w:val="23"/>
        </w:numPr>
        <w:ind w:left="720"/>
        <w:jc w:val="both"/>
        <w:rPr>
          <w:szCs w:val="28"/>
          <w:lang w:val="en-GB"/>
        </w:rPr>
      </w:pPr>
      <w:r w:rsidRPr="00414862">
        <w:rPr>
          <w:szCs w:val="28"/>
          <w:lang w:val="en-GB"/>
        </w:rPr>
        <w:t>Full UK membership of the European standard bodies CEN and CENELEC will be essential</w:t>
      </w:r>
      <w:r w:rsidR="008F4D7E" w:rsidRPr="00414862">
        <w:rPr>
          <w:szCs w:val="28"/>
          <w:lang w:val="en-GB"/>
        </w:rPr>
        <w:t>.</w:t>
      </w:r>
    </w:p>
    <w:p w14:paraId="47B39B07" w14:textId="77777777" w:rsidR="00C42DE4" w:rsidRDefault="00C42DE4" w:rsidP="00414862">
      <w:pPr>
        <w:jc w:val="both"/>
        <w:rPr>
          <w:szCs w:val="28"/>
          <w:lang w:val="en-GB"/>
        </w:rPr>
      </w:pPr>
    </w:p>
    <w:p w14:paraId="504F420B" w14:textId="77777777" w:rsidR="00C42DE4" w:rsidRPr="00C42DE4" w:rsidRDefault="00C42DE4" w:rsidP="00C42DE4">
      <w:pPr>
        <w:jc w:val="both"/>
        <w:rPr>
          <w:szCs w:val="28"/>
          <w:lang w:val="en-GB"/>
        </w:rPr>
      </w:pPr>
    </w:p>
    <w:p w14:paraId="0BA58C6C" w14:textId="66A57A76" w:rsidR="00E40A1C" w:rsidRPr="00185CD8" w:rsidRDefault="00E40A1C" w:rsidP="00414862">
      <w:pPr>
        <w:pStyle w:val="ListParagraph"/>
        <w:numPr>
          <w:ilvl w:val="0"/>
          <w:numId w:val="22"/>
        </w:numPr>
        <w:jc w:val="both"/>
        <w:rPr>
          <w:b/>
          <w:szCs w:val="28"/>
          <w:lang w:val="en-GB"/>
        </w:rPr>
      </w:pPr>
      <w:r w:rsidRPr="00185CD8">
        <w:rPr>
          <w:b/>
          <w:szCs w:val="28"/>
          <w:lang w:val="en-GB"/>
        </w:rPr>
        <w:t>Energy and Climate change implications paper and response to BEIS select committee – originating from BEAMA</w:t>
      </w:r>
    </w:p>
    <w:p w14:paraId="6908B857" w14:textId="77777777" w:rsidR="001F1C17" w:rsidRDefault="008F4D7E" w:rsidP="00414862">
      <w:pPr>
        <w:ind w:left="709"/>
        <w:jc w:val="both"/>
        <w:rPr>
          <w:szCs w:val="28"/>
          <w:lang w:val="en-GB"/>
        </w:rPr>
      </w:pPr>
      <w:r>
        <w:rPr>
          <w:szCs w:val="28"/>
          <w:lang w:val="en-GB"/>
        </w:rPr>
        <w:t>In summary the move towards a low carbon economy will continue irrespective of the UK relationship with the EU</w:t>
      </w:r>
      <w:r w:rsidR="001F1C17">
        <w:rPr>
          <w:szCs w:val="28"/>
          <w:lang w:val="en-GB"/>
        </w:rPr>
        <w:t xml:space="preserve">. The international nature of both the political treaties and targets, and the industrial and regulatory responses will also remain. For the UK industry to maintain its national and international competiveness, it needs to maintain its high level of influence in the development of low carbon solutions. Although this influence is worldwide, much is focused inside Europe, and this is unlikely to change, as European legislation and product and service solution are European based. </w:t>
      </w:r>
    </w:p>
    <w:p w14:paraId="7CE77F10" w14:textId="3BE66BFA" w:rsidR="001F1C17" w:rsidRPr="00C42DE4" w:rsidRDefault="00AE4ACC" w:rsidP="00524A24">
      <w:pPr>
        <w:jc w:val="both"/>
        <w:rPr>
          <w:szCs w:val="28"/>
          <w:lang w:val="en-GB"/>
        </w:rPr>
      </w:pPr>
      <w:r>
        <w:rPr>
          <w:szCs w:val="28"/>
          <w:lang w:val="en-GB"/>
        </w:rPr>
        <w:t xml:space="preserve">Full reports are available as separate documents. </w:t>
      </w:r>
      <w:r w:rsidR="00C42DE4">
        <w:rPr>
          <w:szCs w:val="28"/>
          <w:lang w:val="en-GB"/>
        </w:rPr>
        <w:t xml:space="preserve">Other </w:t>
      </w:r>
      <w:r w:rsidR="00E40A1C" w:rsidRPr="00C42DE4">
        <w:rPr>
          <w:szCs w:val="28"/>
          <w:lang w:val="en-GB"/>
        </w:rPr>
        <w:t>reports</w:t>
      </w:r>
      <w:r w:rsidR="00C42DE4">
        <w:rPr>
          <w:szCs w:val="28"/>
          <w:lang w:val="en-GB"/>
        </w:rPr>
        <w:t xml:space="preserve"> will be developed</w:t>
      </w:r>
      <w:r>
        <w:rPr>
          <w:szCs w:val="28"/>
          <w:lang w:val="en-GB"/>
        </w:rPr>
        <w:t xml:space="preserve"> and added to this initial list from a list of 13 priority areas. A report on IP and Copyright is likely to be the next report released.</w:t>
      </w:r>
    </w:p>
    <w:p w14:paraId="580283EB" w14:textId="77777777" w:rsidR="00E40A1C" w:rsidRPr="001F1C17" w:rsidRDefault="001F1C17" w:rsidP="00185CD8">
      <w:pPr>
        <w:spacing w:after="160" w:line="259" w:lineRule="auto"/>
        <w:jc w:val="both"/>
        <w:rPr>
          <w:szCs w:val="28"/>
          <w:lang w:val="en-GB"/>
        </w:rPr>
      </w:pPr>
      <w:r>
        <w:rPr>
          <w:szCs w:val="28"/>
          <w:lang w:val="en-GB"/>
        </w:rPr>
        <w:br w:type="page"/>
      </w:r>
    </w:p>
    <w:p w14:paraId="738BB8FE" w14:textId="77777777" w:rsidR="00F5680D" w:rsidRDefault="00F5680D" w:rsidP="00185CD8">
      <w:pPr>
        <w:jc w:val="both"/>
        <w:rPr>
          <w:b/>
          <w:szCs w:val="28"/>
          <w:lang w:val="en-GB"/>
        </w:rPr>
      </w:pPr>
    </w:p>
    <w:p w14:paraId="5244D452" w14:textId="77777777" w:rsidR="001F1C17" w:rsidRPr="001F1C17" w:rsidRDefault="001F1C17" w:rsidP="00185CD8">
      <w:pPr>
        <w:jc w:val="both"/>
        <w:rPr>
          <w:b/>
          <w:szCs w:val="28"/>
          <w:lang w:val="en-GB"/>
        </w:rPr>
      </w:pPr>
      <w:r w:rsidRPr="001F1C17">
        <w:rPr>
          <w:b/>
          <w:szCs w:val="28"/>
          <w:lang w:val="en-GB"/>
        </w:rPr>
        <w:t xml:space="preserve">Part 4 </w:t>
      </w:r>
      <w:r w:rsidRPr="001F1C17">
        <w:rPr>
          <w:b/>
          <w:szCs w:val="28"/>
          <w:lang w:val="en-GB"/>
        </w:rPr>
        <w:tab/>
        <w:t>The role of EURIS in 2017 and beyond</w:t>
      </w:r>
    </w:p>
    <w:p w14:paraId="359224EE" w14:textId="77777777" w:rsidR="00CF29A0" w:rsidRPr="00CF29A0" w:rsidRDefault="00CF29A0" w:rsidP="00185CD8">
      <w:pPr>
        <w:jc w:val="both"/>
        <w:rPr>
          <w:b/>
          <w:szCs w:val="28"/>
          <w:lang w:val="en-GB"/>
        </w:rPr>
      </w:pPr>
      <w:r w:rsidRPr="00CF29A0">
        <w:rPr>
          <w:b/>
          <w:szCs w:val="28"/>
          <w:lang w:val="en-GB"/>
        </w:rPr>
        <w:t>EURIS in the UK</w:t>
      </w:r>
    </w:p>
    <w:p w14:paraId="429FA1D1" w14:textId="77777777" w:rsidR="008E4389" w:rsidRDefault="001F1C17" w:rsidP="00185CD8">
      <w:pPr>
        <w:jc w:val="both"/>
        <w:rPr>
          <w:szCs w:val="28"/>
          <w:lang w:val="en-GB"/>
        </w:rPr>
      </w:pPr>
      <w:r>
        <w:rPr>
          <w:szCs w:val="28"/>
          <w:lang w:val="en-GB"/>
        </w:rPr>
        <w:t>The EURIS task force has been established to provide a consistent and coordinated input f</w:t>
      </w:r>
      <w:r w:rsidR="008E4389">
        <w:rPr>
          <w:szCs w:val="28"/>
          <w:lang w:val="en-GB"/>
        </w:rPr>
        <w:t>rom the electrical, electronic, mechanical</w:t>
      </w:r>
      <w:r>
        <w:rPr>
          <w:szCs w:val="28"/>
          <w:lang w:val="en-GB"/>
        </w:rPr>
        <w:t xml:space="preserve"> and renewables industries into the development of policies relating to the exit of the UK from the European Union. In addition</w:t>
      </w:r>
      <w:r w:rsidR="00DF3F7E">
        <w:rPr>
          <w:szCs w:val="28"/>
          <w:lang w:val="en-GB"/>
        </w:rPr>
        <w:t>,</w:t>
      </w:r>
      <w:r>
        <w:rPr>
          <w:szCs w:val="28"/>
          <w:lang w:val="en-GB"/>
        </w:rPr>
        <w:t xml:space="preserve"> it aims to contr</w:t>
      </w:r>
      <w:r w:rsidR="008E4389">
        <w:rPr>
          <w:szCs w:val="28"/>
          <w:lang w:val="en-GB"/>
        </w:rPr>
        <w:t>ibute to the development of a UK</w:t>
      </w:r>
      <w:r>
        <w:rPr>
          <w:szCs w:val="28"/>
          <w:lang w:val="en-GB"/>
        </w:rPr>
        <w:t xml:space="preserve"> Industrial Strategy inextricably linked to the </w:t>
      </w:r>
      <w:r w:rsidR="008E4389">
        <w:rPr>
          <w:szCs w:val="28"/>
          <w:lang w:val="en-GB"/>
        </w:rPr>
        <w:t xml:space="preserve">future relationship with the EU. </w:t>
      </w:r>
    </w:p>
    <w:p w14:paraId="010FA339" w14:textId="77777777" w:rsidR="00CF29A0" w:rsidRDefault="008E4389" w:rsidP="00185CD8">
      <w:pPr>
        <w:jc w:val="both"/>
        <w:rPr>
          <w:szCs w:val="28"/>
          <w:lang w:val="en-GB"/>
        </w:rPr>
      </w:pPr>
      <w:r>
        <w:rPr>
          <w:szCs w:val="28"/>
          <w:lang w:val="en-GB"/>
        </w:rPr>
        <w:t>It has support and membership from BEAMA, GAMBICA, EAMA, CESA and NMI</w:t>
      </w:r>
      <w:r w:rsidR="00CF29A0">
        <w:rPr>
          <w:szCs w:val="28"/>
          <w:lang w:val="en-GB"/>
        </w:rPr>
        <w:t xml:space="preserve">. </w:t>
      </w:r>
    </w:p>
    <w:p w14:paraId="4FF58272" w14:textId="79848BB5" w:rsidR="00C01ECA" w:rsidRDefault="00CF29A0" w:rsidP="00185CD8">
      <w:pPr>
        <w:jc w:val="both"/>
        <w:rPr>
          <w:szCs w:val="28"/>
          <w:lang w:val="en-GB"/>
        </w:rPr>
      </w:pPr>
      <w:r>
        <w:rPr>
          <w:szCs w:val="28"/>
          <w:lang w:val="en-GB"/>
        </w:rPr>
        <w:t xml:space="preserve">Each of these associations will take input from their respective memberships, report into the EURIS secretariat, and develop agreed responses and polices as appropriate. </w:t>
      </w:r>
      <w:r w:rsidR="00C01ECA">
        <w:rPr>
          <w:szCs w:val="28"/>
          <w:lang w:val="en-GB"/>
        </w:rPr>
        <w:t>These agreed positions will represent to collated views of the industries represented. Specific and ind</w:t>
      </w:r>
      <w:r w:rsidR="00DF3F7E">
        <w:rPr>
          <w:szCs w:val="28"/>
          <w:lang w:val="en-GB"/>
        </w:rPr>
        <w:t>ivid</w:t>
      </w:r>
      <w:r w:rsidR="00C01ECA">
        <w:rPr>
          <w:szCs w:val="28"/>
          <w:lang w:val="en-GB"/>
        </w:rPr>
        <w:t xml:space="preserve">ual responses and papers will still be generated by the induvial groups, but using the EURIS core principles. </w:t>
      </w:r>
    </w:p>
    <w:p w14:paraId="189A26DC" w14:textId="77777777" w:rsidR="00C01ECA" w:rsidRDefault="00C01ECA" w:rsidP="00185CD8">
      <w:pPr>
        <w:jc w:val="both"/>
        <w:rPr>
          <w:szCs w:val="28"/>
          <w:lang w:val="en-GB"/>
        </w:rPr>
      </w:pPr>
      <w:r>
        <w:rPr>
          <w:szCs w:val="28"/>
          <w:lang w:val="en-GB"/>
        </w:rPr>
        <w:t xml:space="preserve">EURIS will utilise the connections and influences with its European connections and partners. </w:t>
      </w:r>
    </w:p>
    <w:p w14:paraId="6CD183E3" w14:textId="77777777" w:rsidR="00C01ECA" w:rsidRPr="00C01ECA" w:rsidRDefault="00C01ECA" w:rsidP="00185CD8">
      <w:pPr>
        <w:jc w:val="both"/>
        <w:rPr>
          <w:b/>
          <w:szCs w:val="28"/>
          <w:lang w:val="en-GB"/>
        </w:rPr>
      </w:pPr>
      <w:r w:rsidRPr="00C01ECA">
        <w:rPr>
          <w:b/>
          <w:szCs w:val="28"/>
          <w:lang w:val="en-GB"/>
        </w:rPr>
        <w:t xml:space="preserve">EURIS in Europe </w:t>
      </w:r>
      <w:r w:rsidR="00CF29A0" w:rsidRPr="00C01ECA">
        <w:rPr>
          <w:b/>
          <w:szCs w:val="28"/>
          <w:lang w:val="en-GB"/>
        </w:rPr>
        <w:t xml:space="preserve"> </w:t>
      </w:r>
    </w:p>
    <w:p w14:paraId="3CBD7D9F" w14:textId="77777777" w:rsidR="00C01ECA" w:rsidRDefault="00C01ECA" w:rsidP="00185CD8">
      <w:pPr>
        <w:jc w:val="both"/>
        <w:rPr>
          <w:szCs w:val="28"/>
          <w:lang w:val="en-GB"/>
        </w:rPr>
      </w:pPr>
      <w:r>
        <w:rPr>
          <w:szCs w:val="28"/>
          <w:lang w:val="en-GB"/>
        </w:rPr>
        <w:t>The EURIS partner associations have significant influence in European organisations, including in some cases the chairmanship of major European Bodies. 18 staff members of BEAMA and GAMBICA alone are involved in 40 groups, associations and Task groups at European level. There is also high level involvement in the European standardisation bodies of CEN and CENELEC.</w:t>
      </w:r>
    </w:p>
    <w:p w14:paraId="4C8914CD" w14:textId="77777777" w:rsidR="0047717D" w:rsidRDefault="00C01ECA" w:rsidP="00185CD8">
      <w:pPr>
        <w:jc w:val="both"/>
        <w:rPr>
          <w:szCs w:val="28"/>
          <w:lang w:val="en-GB"/>
        </w:rPr>
      </w:pPr>
      <w:r>
        <w:rPr>
          <w:szCs w:val="28"/>
          <w:lang w:val="en-GB"/>
        </w:rPr>
        <w:t>It is already reported that UK Government input into the working groups developing existing and new European legislation</w:t>
      </w:r>
      <w:r w:rsidR="0047717D">
        <w:rPr>
          <w:szCs w:val="28"/>
          <w:lang w:val="en-GB"/>
        </w:rPr>
        <w:t xml:space="preserve"> is weakening, and this is expected to weaken further as the process of leaving the EU gathers pace. The UK associations will still maintain their memberships of all their European organisations, and where possible maintain or take leading roles. This route is likely to be the only way in which UK based companies will be able to influence and have sight of new and evolving European legislation relevant for their future competitiveness and growth. </w:t>
      </w:r>
    </w:p>
    <w:p w14:paraId="41EFE6B9" w14:textId="77777777" w:rsidR="000E39FB" w:rsidRDefault="0047717D" w:rsidP="00185CD8">
      <w:pPr>
        <w:jc w:val="both"/>
        <w:rPr>
          <w:szCs w:val="28"/>
          <w:lang w:val="en-GB"/>
        </w:rPr>
      </w:pPr>
      <w:r>
        <w:rPr>
          <w:szCs w:val="28"/>
          <w:lang w:val="en-GB"/>
        </w:rPr>
        <w:t xml:space="preserve">EURIS associations wish to work with the UK Government, primarily DExEU and BEIS, to ensure that the future heath of our industries is not adversely affected by the Brexit processes, and where possible increase growth and competitiveness.   </w:t>
      </w:r>
      <w:r w:rsidR="00C01ECA">
        <w:rPr>
          <w:szCs w:val="28"/>
          <w:lang w:val="en-GB"/>
        </w:rPr>
        <w:t xml:space="preserve">  </w:t>
      </w:r>
    </w:p>
    <w:p w14:paraId="2B73106A" w14:textId="77777777" w:rsidR="00F5680D" w:rsidRDefault="000E39FB" w:rsidP="00185CD8">
      <w:pPr>
        <w:spacing w:after="160" w:line="259" w:lineRule="auto"/>
        <w:jc w:val="both"/>
        <w:rPr>
          <w:szCs w:val="28"/>
          <w:lang w:val="en-GB"/>
        </w:rPr>
      </w:pPr>
      <w:r>
        <w:rPr>
          <w:szCs w:val="28"/>
          <w:lang w:val="en-GB"/>
        </w:rPr>
        <w:br w:type="page"/>
      </w:r>
    </w:p>
    <w:p w14:paraId="784977BD" w14:textId="77777777" w:rsidR="00F5680D" w:rsidRDefault="00F5680D" w:rsidP="00185CD8">
      <w:pPr>
        <w:spacing w:after="160" w:line="259" w:lineRule="auto"/>
        <w:jc w:val="both"/>
        <w:rPr>
          <w:szCs w:val="28"/>
          <w:lang w:val="en-GB"/>
        </w:rPr>
      </w:pPr>
    </w:p>
    <w:p w14:paraId="35838792" w14:textId="65F7EFC9" w:rsidR="000E39FB" w:rsidRPr="000E39FB" w:rsidRDefault="000E39FB" w:rsidP="00185CD8">
      <w:pPr>
        <w:spacing w:after="160" w:line="259" w:lineRule="auto"/>
        <w:jc w:val="both"/>
        <w:rPr>
          <w:szCs w:val="28"/>
          <w:lang w:val="en-GB"/>
        </w:rPr>
      </w:pPr>
      <w:r w:rsidRPr="00620666">
        <w:rPr>
          <w:b/>
          <w:szCs w:val="28"/>
          <w:lang w:val="en-GB"/>
        </w:rPr>
        <w:t>Part 5</w:t>
      </w:r>
      <w:r w:rsidR="001B6423">
        <w:rPr>
          <w:b/>
          <w:szCs w:val="28"/>
          <w:lang w:val="en-GB"/>
        </w:rPr>
        <w:tab/>
      </w:r>
      <w:r w:rsidRPr="00620666">
        <w:rPr>
          <w:b/>
          <w:szCs w:val="28"/>
          <w:lang w:val="en-GB"/>
        </w:rPr>
        <w:t>Real</w:t>
      </w:r>
      <w:r w:rsidR="00DF3F7E">
        <w:rPr>
          <w:b/>
          <w:szCs w:val="28"/>
          <w:lang w:val="en-GB"/>
        </w:rPr>
        <w:t>-</w:t>
      </w:r>
      <w:r w:rsidRPr="00620666">
        <w:rPr>
          <w:b/>
          <w:szCs w:val="28"/>
          <w:lang w:val="en-GB"/>
        </w:rPr>
        <w:t>life examples from members of the EURIS TF</w:t>
      </w:r>
    </w:p>
    <w:p w14:paraId="11F4B3E6" w14:textId="77777777" w:rsidR="000E39FB" w:rsidRDefault="000E39FB" w:rsidP="00185CD8">
      <w:pPr>
        <w:jc w:val="both"/>
        <w:rPr>
          <w:szCs w:val="28"/>
          <w:lang w:val="en-GB"/>
        </w:rPr>
      </w:pPr>
      <w:r>
        <w:rPr>
          <w:szCs w:val="28"/>
          <w:lang w:val="en-GB"/>
        </w:rPr>
        <w:t xml:space="preserve">EURIS will develop and maintain a database of evidence and examples form our industrial companies. These will aim to be representative of the variety of opinion, from all sizes of companies, and ownership structures.  </w:t>
      </w:r>
    </w:p>
    <w:p w14:paraId="73A63972" w14:textId="77777777" w:rsidR="000E39FB" w:rsidRDefault="000E39FB" w:rsidP="00185CD8">
      <w:pPr>
        <w:jc w:val="both"/>
        <w:rPr>
          <w:szCs w:val="28"/>
          <w:lang w:val="en-GB"/>
        </w:rPr>
      </w:pPr>
      <w:r>
        <w:rPr>
          <w:szCs w:val="28"/>
          <w:lang w:val="en-GB"/>
        </w:rPr>
        <w:t xml:space="preserve">These examples will develop as the leaving process evolves, but in January 2017 the following are </w:t>
      </w:r>
      <w:r w:rsidR="00C42DE4">
        <w:rPr>
          <w:szCs w:val="28"/>
          <w:lang w:val="en-GB"/>
        </w:rPr>
        <w:t>suggested as starting exemplars:</w:t>
      </w:r>
    </w:p>
    <w:p w14:paraId="4AF6C1C6" w14:textId="77777777" w:rsidR="000E39FB" w:rsidRDefault="000E39FB" w:rsidP="00185CD8">
      <w:pPr>
        <w:jc w:val="both"/>
        <w:rPr>
          <w:szCs w:val="28"/>
          <w:lang w:val="en-GB"/>
        </w:rPr>
      </w:pPr>
      <w:r>
        <w:rPr>
          <w:szCs w:val="28"/>
          <w:lang w:val="en-GB"/>
        </w:rPr>
        <w:t>Example 1</w:t>
      </w:r>
      <w:r>
        <w:rPr>
          <w:szCs w:val="28"/>
          <w:lang w:val="en-GB"/>
        </w:rPr>
        <w:tab/>
      </w:r>
      <w:r w:rsidR="00D46F8D">
        <w:rPr>
          <w:szCs w:val="28"/>
          <w:lang w:val="en-GB"/>
        </w:rPr>
        <w:t>Major multinational company with significant UK employees but importi</w:t>
      </w:r>
      <w:r w:rsidR="00C42DE4">
        <w:rPr>
          <w:szCs w:val="28"/>
          <w:lang w:val="en-GB"/>
        </w:rPr>
        <w:t xml:space="preserve">ng from the EU </w:t>
      </w:r>
      <w:r w:rsidR="00D46F8D">
        <w:rPr>
          <w:szCs w:val="28"/>
          <w:lang w:val="en-GB"/>
        </w:rPr>
        <w:t xml:space="preserve"> </w:t>
      </w:r>
    </w:p>
    <w:p w14:paraId="7774B067" w14:textId="77777777" w:rsidR="00D46F8D" w:rsidRDefault="005F55EF" w:rsidP="00185CD8">
      <w:pPr>
        <w:jc w:val="both"/>
        <w:rPr>
          <w:szCs w:val="28"/>
          <w:lang w:val="en-GB"/>
        </w:rPr>
      </w:pPr>
      <w:r>
        <w:rPr>
          <w:szCs w:val="28"/>
          <w:lang w:val="en-GB"/>
        </w:rPr>
        <w:t>Example 2</w:t>
      </w:r>
      <w:r>
        <w:rPr>
          <w:szCs w:val="28"/>
          <w:lang w:val="en-GB"/>
        </w:rPr>
        <w:tab/>
        <w:t>Company</w:t>
      </w:r>
      <w:r w:rsidR="00D46F8D">
        <w:rPr>
          <w:szCs w:val="28"/>
          <w:lang w:val="en-GB"/>
        </w:rPr>
        <w:t xml:space="preserve"> importing and exporting components</w:t>
      </w:r>
      <w:r>
        <w:rPr>
          <w:szCs w:val="28"/>
          <w:lang w:val="en-GB"/>
        </w:rPr>
        <w:t xml:space="preserve">, as part of the manufacturing process </w:t>
      </w:r>
    </w:p>
    <w:p w14:paraId="52A059B3" w14:textId="77777777" w:rsidR="00D46F8D" w:rsidRDefault="00D46F8D" w:rsidP="00185CD8">
      <w:pPr>
        <w:jc w:val="both"/>
        <w:rPr>
          <w:szCs w:val="28"/>
          <w:lang w:val="en-GB"/>
        </w:rPr>
      </w:pPr>
      <w:r>
        <w:rPr>
          <w:szCs w:val="28"/>
          <w:lang w:val="en-GB"/>
        </w:rPr>
        <w:t>Example 3</w:t>
      </w:r>
      <w:r>
        <w:rPr>
          <w:szCs w:val="28"/>
          <w:lang w:val="en-GB"/>
        </w:rPr>
        <w:tab/>
        <w:t>Small SME impacted by</w:t>
      </w:r>
      <w:r w:rsidR="005F55EF">
        <w:rPr>
          <w:szCs w:val="28"/>
          <w:lang w:val="en-GB"/>
        </w:rPr>
        <w:t xml:space="preserve"> currency variations </w:t>
      </w:r>
      <w:r>
        <w:rPr>
          <w:szCs w:val="28"/>
          <w:lang w:val="en-GB"/>
        </w:rPr>
        <w:t xml:space="preserve"> </w:t>
      </w:r>
    </w:p>
    <w:p w14:paraId="6C9E12A6" w14:textId="77777777" w:rsidR="00D46F8D" w:rsidRDefault="00D46F8D" w:rsidP="00185CD8">
      <w:pPr>
        <w:jc w:val="both"/>
        <w:rPr>
          <w:szCs w:val="28"/>
          <w:lang w:val="en-GB"/>
        </w:rPr>
      </w:pPr>
      <w:r>
        <w:rPr>
          <w:szCs w:val="28"/>
          <w:lang w:val="en-GB"/>
        </w:rPr>
        <w:t xml:space="preserve">Example 4 </w:t>
      </w:r>
      <w:r>
        <w:rPr>
          <w:szCs w:val="28"/>
          <w:lang w:val="en-GB"/>
        </w:rPr>
        <w:tab/>
        <w:t xml:space="preserve">US owned multi-national considering future investments in the UK </w:t>
      </w:r>
    </w:p>
    <w:p w14:paraId="073E565B" w14:textId="77777777" w:rsidR="00EE037D" w:rsidRDefault="00EE037D" w:rsidP="00185CD8">
      <w:pPr>
        <w:jc w:val="both"/>
        <w:rPr>
          <w:szCs w:val="28"/>
          <w:lang w:val="en-GB"/>
        </w:rPr>
      </w:pPr>
      <w:r>
        <w:rPr>
          <w:szCs w:val="28"/>
          <w:lang w:val="en-GB"/>
        </w:rPr>
        <w:t>Example</w:t>
      </w:r>
      <w:r w:rsidR="005F55EF">
        <w:rPr>
          <w:szCs w:val="28"/>
          <w:lang w:val="en-GB"/>
        </w:rPr>
        <w:t xml:space="preserve"> 5</w:t>
      </w:r>
      <w:r w:rsidR="005F55EF">
        <w:rPr>
          <w:szCs w:val="28"/>
          <w:lang w:val="en-GB"/>
        </w:rPr>
        <w:tab/>
        <w:t xml:space="preserve">SME Company </w:t>
      </w:r>
    </w:p>
    <w:p w14:paraId="7D8391D5" w14:textId="77777777" w:rsidR="005F55EF" w:rsidRDefault="005F55EF" w:rsidP="00185CD8">
      <w:pPr>
        <w:jc w:val="both"/>
        <w:rPr>
          <w:szCs w:val="28"/>
          <w:lang w:val="en-GB"/>
        </w:rPr>
      </w:pPr>
      <w:r>
        <w:rPr>
          <w:szCs w:val="28"/>
          <w:lang w:val="en-GB"/>
        </w:rPr>
        <w:t>Example 6</w:t>
      </w:r>
      <w:r>
        <w:rPr>
          <w:szCs w:val="28"/>
          <w:lang w:val="en-GB"/>
        </w:rPr>
        <w:tab/>
        <w:t xml:space="preserve">UK based company primarily producing IP not manufacture red products </w:t>
      </w:r>
    </w:p>
    <w:p w14:paraId="3B7EA219" w14:textId="77777777" w:rsidR="005F55EF" w:rsidRPr="001F1C17" w:rsidRDefault="005F55EF" w:rsidP="00185CD8">
      <w:pPr>
        <w:jc w:val="both"/>
        <w:rPr>
          <w:szCs w:val="28"/>
          <w:lang w:val="en-GB"/>
        </w:rPr>
      </w:pPr>
      <w:r>
        <w:rPr>
          <w:szCs w:val="28"/>
          <w:lang w:val="en-GB"/>
        </w:rPr>
        <w:t xml:space="preserve">EURIS will produce a template for all examples to be summarised. This will ensure that all are presented in an equal manner. </w:t>
      </w:r>
    </w:p>
    <w:p w14:paraId="041D6D88" w14:textId="77777777" w:rsidR="00E40A1C" w:rsidRDefault="00E40A1C" w:rsidP="00185CD8">
      <w:pPr>
        <w:jc w:val="both"/>
        <w:rPr>
          <w:szCs w:val="28"/>
          <w:lang w:val="en-GB"/>
        </w:rPr>
      </w:pPr>
      <w:r>
        <w:rPr>
          <w:szCs w:val="28"/>
          <w:lang w:val="en-GB"/>
        </w:rPr>
        <w:tab/>
      </w:r>
    </w:p>
    <w:p w14:paraId="77FFA2B7" w14:textId="77777777" w:rsidR="00F00397" w:rsidRPr="00E40A1C" w:rsidRDefault="00F00397" w:rsidP="00185CD8">
      <w:pPr>
        <w:jc w:val="both"/>
        <w:rPr>
          <w:szCs w:val="28"/>
          <w:lang w:val="en-GB"/>
        </w:rPr>
      </w:pPr>
      <w:r w:rsidRPr="00E40A1C">
        <w:rPr>
          <w:szCs w:val="28"/>
          <w:lang w:val="en-GB"/>
        </w:rPr>
        <w:tab/>
      </w:r>
    </w:p>
    <w:p w14:paraId="4BCC611A" w14:textId="4B483EA2" w:rsidR="00025A55" w:rsidRDefault="00CF0453" w:rsidP="00AE4ACC">
      <w:pPr>
        <w:spacing w:after="160" w:line="259" w:lineRule="auto"/>
        <w:jc w:val="both"/>
        <w:rPr>
          <w:b/>
          <w:lang w:val="en-GB"/>
        </w:rPr>
      </w:pPr>
      <w:r>
        <w:rPr>
          <w:b/>
          <w:lang w:val="en-GB"/>
        </w:rPr>
        <w:br w:type="page"/>
      </w:r>
      <w:r w:rsidR="00AE4ACC">
        <w:rPr>
          <w:b/>
          <w:lang w:val="en-GB"/>
        </w:rPr>
        <w:lastRenderedPageBreak/>
        <w:t xml:space="preserve"> </w:t>
      </w:r>
    </w:p>
    <w:p w14:paraId="7AB61070" w14:textId="77777777" w:rsidR="00025A55" w:rsidRDefault="00025A55" w:rsidP="00185CD8">
      <w:pPr>
        <w:jc w:val="both"/>
      </w:pPr>
    </w:p>
    <w:sectPr w:rsidR="00025A55">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B84DD6" w14:textId="77777777" w:rsidR="00A02C1C" w:rsidRDefault="00A02C1C" w:rsidP="008D21C1">
      <w:pPr>
        <w:spacing w:after="0" w:line="240" w:lineRule="auto"/>
      </w:pPr>
      <w:r>
        <w:separator/>
      </w:r>
    </w:p>
  </w:endnote>
  <w:endnote w:type="continuationSeparator" w:id="0">
    <w:p w14:paraId="79BBBB9C" w14:textId="77777777" w:rsidR="00A02C1C" w:rsidRDefault="00A02C1C" w:rsidP="008D2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valon">
    <w:altName w:val="Avalo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4140371"/>
      <w:docPartObj>
        <w:docPartGallery w:val="Page Numbers (Bottom of Page)"/>
        <w:docPartUnique/>
      </w:docPartObj>
    </w:sdtPr>
    <w:sdtEndPr>
      <w:rPr>
        <w:noProof/>
      </w:rPr>
    </w:sdtEndPr>
    <w:sdtContent>
      <w:p w14:paraId="117E282C" w14:textId="53E55B3E" w:rsidR="007A6791" w:rsidRDefault="007A6791">
        <w:pPr>
          <w:pStyle w:val="Footer"/>
          <w:jc w:val="right"/>
        </w:pPr>
        <w:r>
          <w:fldChar w:fldCharType="begin"/>
        </w:r>
        <w:r>
          <w:instrText xml:space="preserve"> PAGE   \* MERGEFORMAT </w:instrText>
        </w:r>
        <w:r>
          <w:fldChar w:fldCharType="separate"/>
        </w:r>
        <w:r w:rsidR="00AE4ACC">
          <w:rPr>
            <w:noProof/>
          </w:rPr>
          <w:t>2</w:t>
        </w:r>
        <w:r>
          <w:rPr>
            <w:noProof/>
          </w:rPr>
          <w:fldChar w:fldCharType="end"/>
        </w:r>
      </w:p>
    </w:sdtContent>
  </w:sdt>
  <w:p w14:paraId="2FD7D782" w14:textId="77777777" w:rsidR="007A6791" w:rsidRDefault="007A67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B9F6DA" w14:textId="77777777" w:rsidR="00A02C1C" w:rsidRDefault="00A02C1C" w:rsidP="008D21C1">
      <w:pPr>
        <w:spacing w:after="0" w:line="240" w:lineRule="auto"/>
      </w:pPr>
      <w:r>
        <w:separator/>
      </w:r>
    </w:p>
  </w:footnote>
  <w:footnote w:type="continuationSeparator" w:id="0">
    <w:p w14:paraId="3D59E665" w14:textId="77777777" w:rsidR="00A02C1C" w:rsidRDefault="00A02C1C" w:rsidP="008D21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88A22" w14:textId="08410C8C" w:rsidR="008D21C1" w:rsidRDefault="00AE4ACC" w:rsidP="008D21C1">
    <w:pPr>
      <w:pStyle w:val="Header"/>
    </w:pPr>
    <w:r>
      <w:rPr>
        <w:noProof/>
        <w:lang w:val="en-GB" w:eastAsia="en-GB"/>
      </w:rPr>
      <w:drawing>
        <wp:anchor distT="0" distB="0" distL="114300" distR="114300" simplePos="0" relativeHeight="251658240" behindDoc="1" locked="0" layoutInCell="1" allowOverlap="1" wp14:anchorId="5CC7EC27" wp14:editId="311C04BE">
          <wp:simplePos x="0" y="0"/>
          <wp:positionH relativeFrom="column">
            <wp:posOffset>1477670</wp:posOffset>
          </wp:positionH>
          <wp:positionV relativeFrom="paragraph">
            <wp:posOffset>-310413</wp:posOffset>
          </wp:positionV>
          <wp:extent cx="2253082" cy="639521"/>
          <wp:effectExtent l="0" t="0" r="0" b="8255"/>
          <wp:wrapTight wrapText="bothSides">
            <wp:wrapPolygon edited="0">
              <wp:start x="0" y="0"/>
              <wp:lineTo x="0" y="21235"/>
              <wp:lineTo x="21369" y="21235"/>
              <wp:lineTo x="2136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RIS logo.png"/>
                  <pic:cNvPicPr/>
                </pic:nvPicPr>
                <pic:blipFill>
                  <a:blip r:embed="rId1">
                    <a:extLst>
                      <a:ext uri="{28A0092B-C50C-407E-A947-70E740481C1C}">
                        <a14:useLocalDpi xmlns:a14="http://schemas.microsoft.com/office/drawing/2010/main" val="0"/>
                      </a:ext>
                    </a:extLst>
                  </a:blip>
                  <a:stretch>
                    <a:fillRect/>
                  </a:stretch>
                </pic:blipFill>
                <pic:spPr>
                  <a:xfrm>
                    <a:off x="0" y="0"/>
                    <a:ext cx="2253082" cy="639521"/>
                  </a:xfrm>
                  <a:prstGeom prst="rect">
                    <a:avLst/>
                  </a:prstGeom>
                </pic:spPr>
              </pic:pic>
            </a:graphicData>
          </a:graphic>
          <wp14:sizeRelH relativeFrom="page">
            <wp14:pctWidth>0</wp14:pctWidth>
          </wp14:sizeRelH>
          <wp14:sizeRelV relativeFrom="page">
            <wp14:pctHeight>0</wp14:pctHeight>
          </wp14:sizeRelV>
        </wp:anchor>
      </w:drawing>
    </w:r>
  </w:p>
  <w:p w14:paraId="0A3807FB" w14:textId="77777777" w:rsidR="008D21C1" w:rsidRDefault="008D21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D6605"/>
    <w:multiLevelType w:val="hybridMultilevel"/>
    <w:tmpl w:val="229E8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C16ED"/>
    <w:multiLevelType w:val="hybridMultilevel"/>
    <w:tmpl w:val="4B4279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831C1E"/>
    <w:multiLevelType w:val="hybridMultilevel"/>
    <w:tmpl w:val="BC80F1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BE7695"/>
    <w:multiLevelType w:val="hybridMultilevel"/>
    <w:tmpl w:val="E370BF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D471D1C"/>
    <w:multiLevelType w:val="hybridMultilevel"/>
    <w:tmpl w:val="E10AC4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3000888"/>
    <w:multiLevelType w:val="hybridMultilevel"/>
    <w:tmpl w:val="0034173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EC263A"/>
    <w:multiLevelType w:val="hybridMultilevel"/>
    <w:tmpl w:val="1388C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3110CA"/>
    <w:multiLevelType w:val="hybridMultilevel"/>
    <w:tmpl w:val="9E524E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E62EAB"/>
    <w:multiLevelType w:val="hybridMultilevel"/>
    <w:tmpl w:val="321CBC8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8D1205"/>
    <w:multiLevelType w:val="hybridMultilevel"/>
    <w:tmpl w:val="A17CB968"/>
    <w:lvl w:ilvl="0" w:tplc="DF649D0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A0519F"/>
    <w:multiLevelType w:val="hybridMultilevel"/>
    <w:tmpl w:val="EEE673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E0070A"/>
    <w:multiLevelType w:val="hybridMultilevel"/>
    <w:tmpl w:val="555C08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3B0744"/>
    <w:multiLevelType w:val="hybridMultilevel"/>
    <w:tmpl w:val="898AEB36"/>
    <w:lvl w:ilvl="0" w:tplc="89A639C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586198"/>
    <w:multiLevelType w:val="hybridMultilevel"/>
    <w:tmpl w:val="DE9A6F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3B430D"/>
    <w:multiLevelType w:val="hybridMultilevel"/>
    <w:tmpl w:val="F822E7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6E295A"/>
    <w:multiLevelType w:val="hybridMultilevel"/>
    <w:tmpl w:val="35E622C4"/>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983310"/>
    <w:multiLevelType w:val="hybridMultilevel"/>
    <w:tmpl w:val="6A0A9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F96E1A"/>
    <w:multiLevelType w:val="hybridMultilevel"/>
    <w:tmpl w:val="49328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762EF5"/>
    <w:multiLevelType w:val="hybridMultilevel"/>
    <w:tmpl w:val="46C08D7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224DCA"/>
    <w:multiLevelType w:val="hybridMultilevel"/>
    <w:tmpl w:val="EE6096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D4074C"/>
    <w:multiLevelType w:val="hybridMultilevel"/>
    <w:tmpl w:val="268E82D8"/>
    <w:lvl w:ilvl="0" w:tplc="08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6E05B7"/>
    <w:multiLevelType w:val="hybridMultilevel"/>
    <w:tmpl w:val="D8AA8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883161"/>
    <w:multiLevelType w:val="hybridMultilevel"/>
    <w:tmpl w:val="1D2A4D5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0"/>
  </w:num>
  <w:num w:numId="2">
    <w:abstractNumId w:val="6"/>
  </w:num>
  <w:num w:numId="3">
    <w:abstractNumId w:val="16"/>
  </w:num>
  <w:num w:numId="4">
    <w:abstractNumId w:val="17"/>
  </w:num>
  <w:num w:numId="5">
    <w:abstractNumId w:val="11"/>
  </w:num>
  <w:num w:numId="6">
    <w:abstractNumId w:val="21"/>
  </w:num>
  <w:num w:numId="7">
    <w:abstractNumId w:val="8"/>
  </w:num>
  <w:num w:numId="8">
    <w:abstractNumId w:val="0"/>
  </w:num>
  <w:num w:numId="9">
    <w:abstractNumId w:val="18"/>
  </w:num>
  <w:num w:numId="10">
    <w:abstractNumId w:val="15"/>
  </w:num>
  <w:num w:numId="11">
    <w:abstractNumId w:val="7"/>
  </w:num>
  <w:num w:numId="12">
    <w:abstractNumId w:val="19"/>
  </w:num>
  <w:num w:numId="13">
    <w:abstractNumId w:val="20"/>
  </w:num>
  <w:num w:numId="14">
    <w:abstractNumId w:val="2"/>
  </w:num>
  <w:num w:numId="15">
    <w:abstractNumId w:val="9"/>
  </w:num>
  <w:num w:numId="16">
    <w:abstractNumId w:val="22"/>
  </w:num>
  <w:num w:numId="17">
    <w:abstractNumId w:val="14"/>
  </w:num>
  <w:num w:numId="18">
    <w:abstractNumId w:val="13"/>
  </w:num>
  <w:num w:numId="19">
    <w:abstractNumId w:val="5"/>
  </w:num>
  <w:num w:numId="20">
    <w:abstractNumId w:val="3"/>
  </w:num>
  <w:num w:numId="21">
    <w:abstractNumId w:val="4"/>
  </w:num>
  <w:num w:numId="22">
    <w:abstractNumId w:val="12"/>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A55"/>
    <w:rsid w:val="00025A55"/>
    <w:rsid w:val="000269DF"/>
    <w:rsid w:val="0003655F"/>
    <w:rsid w:val="00064504"/>
    <w:rsid w:val="000A64B0"/>
    <w:rsid w:val="000E39FB"/>
    <w:rsid w:val="00126D81"/>
    <w:rsid w:val="001702C3"/>
    <w:rsid w:val="00185755"/>
    <w:rsid w:val="00185CD8"/>
    <w:rsid w:val="001B0906"/>
    <w:rsid w:val="001B6423"/>
    <w:rsid w:val="001C129F"/>
    <w:rsid w:val="001E5618"/>
    <w:rsid w:val="001E7D09"/>
    <w:rsid w:val="001F1C17"/>
    <w:rsid w:val="0022481F"/>
    <w:rsid w:val="002636F4"/>
    <w:rsid w:val="00276DBD"/>
    <w:rsid w:val="002B4683"/>
    <w:rsid w:val="002C5B56"/>
    <w:rsid w:val="00304D2C"/>
    <w:rsid w:val="00350AE0"/>
    <w:rsid w:val="003875A6"/>
    <w:rsid w:val="003D1BD3"/>
    <w:rsid w:val="00405258"/>
    <w:rsid w:val="00414862"/>
    <w:rsid w:val="0047717D"/>
    <w:rsid w:val="004D182A"/>
    <w:rsid w:val="004D76A3"/>
    <w:rsid w:val="00524A24"/>
    <w:rsid w:val="00547CA5"/>
    <w:rsid w:val="005937CB"/>
    <w:rsid w:val="005A4856"/>
    <w:rsid w:val="005B5D47"/>
    <w:rsid w:val="005C59E8"/>
    <w:rsid w:val="005D0529"/>
    <w:rsid w:val="005F55EF"/>
    <w:rsid w:val="00620666"/>
    <w:rsid w:val="00681F70"/>
    <w:rsid w:val="006E0687"/>
    <w:rsid w:val="007157BC"/>
    <w:rsid w:val="0074377D"/>
    <w:rsid w:val="00770335"/>
    <w:rsid w:val="00772AEB"/>
    <w:rsid w:val="00795730"/>
    <w:rsid w:val="007A6791"/>
    <w:rsid w:val="007B4D47"/>
    <w:rsid w:val="007C305B"/>
    <w:rsid w:val="007D2ED4"/>
    <w:rsid w:val="007D4E29"/>
    <w:rsid w:val="008047C5"/>
    <w:rsid w:val="0081572E"/>
    <w:rsid w:val="008375EE"/>
    <w:rsid w:val="00837627"/>
    <w:rsid w:val="00865E20"/>
    <w:rsid w:val="0087742F"/>
    <w:rsid w:val="0088495E"/>
    <w:rsid w:val="00890CD1"/>
    <w:rsid w:val="008D21C1"/>
    <w:rsid w:val="008E4389"/>
    <w:rsid w:val="008F4D7E"/>
    <w:rsid w:val="009359FF"/>
    <w:rsid w:val="00964612"/>
    <w:rsid w:val="009B2574"/>
    <w:rsid w:val="009F01D7"/>
    <w:rsid w:val="00A02C1C"/>
    <w:rsid w:val="00A31372"/>
    <w:rsid w:val="00A947B6"/>
    <w:rsid w:val="00AC010F"/>
    <w:rsid w:val="00AC6437"/>
    <w:rsid w:val="00AD3DFD"/>
    <w:rsid w:val="00AE4ACC"/>
    <w:rsid w:val="00B16CF1"/>
    <w:rsid w:val="00B213A5"/>
    <w:rsid w:val="00B51C23"/>
    <w:rsid w:val="00B740DC"/>
    <w:rsid w:val="00C01ECA"/>
    <w:rsid w:val="00C02AFD"/>
    <w:rsid w:val="00C10DC6"/>
    <w:rsid w:val="00C42DE4"/>
    <w:rsid w:val="00C767F7"/>
    <w:rsid w:val="00CB1647"/>
    <w:rsid w:val="00CD1C83"/>
    <w:rsid w:val="00CF0453"/>
    <w:rsid w:val="00CF29A0"/>
    <w:rsid w:val="00D07B67"/>
    <w:rsid w:val="00D217F8"/>
    <w:rsid w:val="00D22487"/>
    <w:rsid w:val="00D22673"/>
    <w:rsid w:val="00D46F8D"/>
    <w:rsid w:val="00D542C7"/>
    <w:rsid w:val="00D667A3"/>
    <w:rsid w:val="00D851D8"/>
    <w:rsid w:val="00DA56BB"/>
    <w:rsid w:val="00DF1E04"/>
    <w:rsid w:val="00DF3F7E"/>
    <w:rsid w:val="00E40A1C"/>
    <w:rsid w:val="00E52C6E"/>
    <w:rsid w:val="00E608DB"/>
    <w:rsid w:val="00E6433C"/>
    <w:rsid w:val="00E6653A"/>
    <w:rsid w:val="00ED7B5B"/>
    <w:rsid w:val="00EE037D"/>
    <w:rsid w:val="00F00397"/>
    <w:rsid w:val="00F01234"/>
    <w:rsid w:val="00F05881"/>
    <w:rsid w:val="00F140EE"/>
    <w:rsid w:val="00F15F90"/>
    <w:rsid w:val="00F547F3"/>
    <w:rsid w:val="00F5680D"/>
    <w:rsid w:val="00F74E62"/>
    <w:rsid w:val="00FB07EA"/>
    <w:rsid w:val="00FD76B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0D0CAB9"/>
  <w15:docId w15:val="{3E83C26A-3E87-4CF5-8A01-6D9D6B3BB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A55"/>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5A55"/>
    <w:pPr>
      <w:ind w:left="720"/>
      <w:contextualSpacing/>
    </w:pPr>
  </w:style>
  <w:style w:type="character" w:styleId="CommentReference">
    <w:name w:val="annotation reference"/>
    <w:basedOn w:val="DefaultParagraphFont"/>
    <w:uiPriority w:val="99"/>
    <w:semiHidden/>
    <w:unhideWhenUsed/>
    <w:rsid w:val="0074377D"/>
    <w:rPr>
      <w:sz w:val="16"/>
      <w:szCs w:val="16"/>
    </w:rPr>
  </w:style>
  <w:style w:type="paragraph" w:styleId="CommentText">
    <w:name w:val="annotation text"/>
    <w:basedOn w:val="Normal"/>
    <w:link w:val="CommentTextChar"/>
    <w:uiPriority w:val="99"/>
    <w:semiHidden/>
    <w:unhideWhenUsed/>
    <w:rsid w:val="0074377D"/>
    <w:pPr>
      <w:spacing w:line="240" w:lineRule="auto"/>
    </w:pPr>
    <w:rPr>
      <w:sz w:val="20"/>
      <w:szCs w:val="20"/>
    </w:rPr>
  </w:style>
  <w:style w:type="character" w:customStyle="1" w:styleId="CommentTextChar">
    <w:name w:val="Comment Text Char"/>
    <w:basedOn w:val="DefaultParagraphFont"/>
    <w:link w:val="CommentText"/>
    <w:uiPriority w:val="99"/>
    <w:semiHidden/>
    <w:rsid w:val="0074377D"/>
    <w:rPr>
      <w:sz w:val="20"/>
      <w:szCs w:val="20"/>
      <w:lang w:val="en-US"/>
    </w:rPr>
  </w:style>
  <w:style w:type="paragraph" w:styleId="CommentSubject">
    <w:name w:val="annotation subject"/>
    <w:basedOn w:val="CommentText"/>
    <w:next w:val="CommentText"/>
    <w:link w:val="CommentSubjectChar"/>
    <w:uiPriority w:val="99"/>
    <w:semiHidden/>
    <w:unhideWhenUsed/>
    <w:rsid w:val="0074377D"/>
    <w:rPr>
      <w:b/>
      <w:bCs/>
    </w:rPr>
  </w:style>
  <w:style w:type="character" w:customStyle="1" w:styleId="CommentSubjectChar">
    <w:name w:val="Comment Subject Char"/>
    <w:basedOn w:val="CommentTextChar"/>
    <w:link w:val="CommentSubject"/>
    <w:uiPriority w:val="99"/>
    <w:semiHidden/>
    <w:rsid w:val="0074377D"/>
    <w:rPr>
      <w:b/>
      <w:bCs/>
      <w:sz w:val="20"/>
      <w:szCs w:val="20"/>
      <w:lang w:val="en-US"/>
    </w:rPr>
  </w:style>
  <w:style w:type="paragraph" w:styleId="BalloonText">
    <w:name w:val="Balloon Text"/>
    <w:basedOn w:val="Normal"/>
    <w:link w:val="BalloonTextChar"/>
    <w:uiPriority w:val="99"/>
    <w:semiHidden/>
    <w:unhideWhenUsed/>
    <w:rsid w:val="007437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377D"/>
    <w:rPr>
      <w:rFonts w:ascii="Segoe UI" w:hAnsi="Segoe UI" w:cs="Segoe UI"/>
      <w:sz w:val="18"/>
      <w:szCs w:val="18"/>
      <w:lang w:val="en-US"/>
    </w:rPr>
  </w:style>
  <w:style w:type="paragraph" w:customStyle="1" w:styleId="Default">
    <w:name w:val="Default"/>
    <w:rsid w:val="00EE037D"/>
    <w:pPr>
      <w:autoSpaceDE w:val="0"/>
      <w:autoSpaceDN w:val="0"/>
      <w:adjustRightInd w:val="0"/>
      <w:spacing w:after="0" w:line="240" w:lineRule="auto"/>
    </w:pPr>
    <w:rPr>
      <w:rFonts w:ascii="Avalon" w:hAnsi="Avalon" w:cs="Avalon"/>
      <w:color w:val="000000"/>
      <w:sz w:val="24"/>
      <w:szCs w:val="24"/>
    </w:rPr>
  </w:style>
  <w:style w:type="character" w:customStyle="1" w:styleId="A3">
    <w:name w:val="A3"/>
    <w:uiPriority w:val="99"/>
    <w:rsid w:val="00EE037D"/>
    <w:rPr>
      <w:rFonts w:cs="Avalon"/>
      <w:color w:val="000000"/>
      <w:sz w:val="20"/>
      <w:szCs w:val="20"/>
    </w:rPr>
  </w:style>
  <w:style w:type="paragraph" w:styleId="Revision">
    <w:name w:val="Revision"/>
    <w:hidden/>
    <w:uiPriority w:val="99"/>
    <w:semiHidden/>
    <w:rsid w:val="008D21C1"/>
    <w:pPr>
      <w:spacing w:after="0" w:line="240" w:lineRule="auto"/>
    </w:pPr>
    <w:rPr>
      <w:lang w:val="en-US"/>
    </w:rPr>
  </w:style>
  <w:style w:type="paragraph" w:styleId="Header">
    <w:name w:val="header"/>
    <w:basedOn w:val="Normal"/>
    <w:link w:val="HeaderChar"/>
    <w:uiPriority w:val="99"/>
    <w:unhideWhenUsed/>
    <w:rsid w:val="008D21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21C1"/>
    <w:rPr>
      <w:lang w:val="en-US"/>
    </w:rPr>
  </w:style>
  <w:style w:type="paragraph" w:styleId="Footer">
    <w:name w:val="footer"/>
    <w:basedOn w:val="Normal"/>
    <w:link w:val="FooterChar"/>
    <w:uiPriority w:val="99"/>
    <w:unhideWhenUsed/>
    <w:rsid w:val="008D21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21C1"/>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15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2248</Words>
  <Characters>12820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Porter</dc:creator>
  <cp:keywords/>
  <dc:description/>
  <cp:lastModifiedBy>Howard Porter</cp:lastModifiedBy>
  <cp:revision>2</cp:revision>
  <cp:lastPrinted>2017-01-20T13:59:00Z</cp:lastPrinted>
  <dcterms:created xsi:type="dcterms:W3CDTF">2017-02-06T17:55:00Z</dcterms:created>
  <dcterms:modified xsi:type="dcterms:W3CDTF">2017-02-06T17:55:00Z</dcterms:modified>
</cp:coreProperties>
</file>