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Pr>
          <w:rFonts w:ascii="Arial" w:eastAsia="Times New Roman" w:hAnsi="Arial" w:cs="Arial"/>
          <w:b/>
          <w:bCs/>
          <w:color w:val="1A1A1A"/>
          <w:sz w:val="28"/>
          <w:szCs w:val="28"/>
          <w:lang w:eastAsia="en-GB"/>
        </w:rPr>
        <w:t xml:space="preserve">Heating Controls </w:t>
      </w:r>
      <w:r w:rsidR="003D63E7">
        <w:rPr>
          <w:rFonts w:ascii="Arial" w:eastAsia="Times New Roman" w:hAnsi="Arial" w:cs="Arial"/>
          <w:b/>
          <w:bCs/>
          <w:color w:val="1A1A1A"/>
          <w:sz w:val="28"/>
          <w:szCs w:val="28"/>
          <w:lang w:eastAsia="en-GB"/>
        </w:rPr>
        <w:t>Supplier</w:t>
      </w:r>
      <w:bookmarkStart w:id="0" w:name="_GoBack"/>
      <w:bookmarkEnd w:id="0"/>
      <w:r w:rsidRPr="001519C4">
        <w:rPr>
          <w:rFonts w:ascii="Arial" w:eastAsia="Times New Roman" w:hAnsi="Arial" w:cs="Arial"/>
          <w:b/>
          <w:bCs/>
          <w:color w:val="1A1A1A"/>
          <w:sz w:val="28"/>
          <w:szCs w:val="28"/>
          <w:lang w:eastAsia="en-GB"/>
        </w:rPr>
        <w:t xml:space="preserve"> responsibilities for Energy Labelling of Space Heaters</w:t>
      </w:r>
      <w:r w:rsidRPr="00227FA8">
        <w:rPr>
          <w:rFonts w:ascii="Arial" w:eastAsia="Times New Roman" w:hAnsi="Arial" w:cs="Arial"/>
          <w:color w:val="1A1A1A"/>
          <w:sz w:val="24"/>
          <w:szCs w:val="24"/>
          <w:lang w:eastAsia="en-GB"/>
        </w:rPr>
        <w:t xml:space="preserve"> </w:t>
      </w:r>
    </w:p>
    <w:p w:rsidR="00227FA8" w:rsidRP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Temperature controls are included in the ‘package label' and can deliver an increased efficiency when provided to the end customer with a space heater.</w:t>
      </w:r>
    </w:p>
    <w:p w:rsidR="00227FA8" w:rsidRP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As part of the fiche that will be included with the space heater is a sheet allowing a simple calculation to be made (for example by the installer) to calculate the efficiency of the 'package' by adding the value from the temperature control, as above, to the specified efficiency of the space heater. The classes of temperature controls and the efficiency scores for each are shown below:</w:t>
      </w:r>
    </w:p>
    <w:p w:rsidR="00227FA8" w:rsidRPr="00227FA8" w:rsidRDefault="00227FA8" w:rsidP="00227FA8">
      <w:pPr>
        <w:spacing w:after="0" w:line="240" w:lineRule="auto"/>
        <w:rPr>
          <w:rFonts w:ascii="Times New Roman" w:eastAsia="Times New Roman" w:hAnsi="Times New Roman" w:cs="Times New Roman"/>
          <w:sz w:val="24"/>
          <w:szCs w:val="24"/>
          <w:lang w:eastAsia="en-GB"/>
        </w:rPr>
      </w:pPr>
      <w:r w:rsidRPr="00227FA8">
        <w:rPr>
          <w:rFonts w:ascii="Times New Roman" w:eastAsia="Times New Roman" w:hAnsi="Times New Roman" w:cs="Times New Roman"/>
          <w:noProof/>
          <w:sz w:val="24"/>
          <w:szCs w:val="24"/>
          <w:lang w:eastAsia="en-GB"/>
        </w:rPr>
        <w:drawing>
          <wp:inline distT="0" distB="0" distL="0" distR="0">
            <wp:extent cx="5219854" cy="3048000"/>
            <wp:effectExtent l="0" t="0" r="0" b="0"/>
            <wp:docPr id="1" name="Picture 1" descr="http://www.beama.org.uk/asset/AA083355-5E86-48C8-BCB144F946C2AFD5/423x247-highest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ama.org.uk/asset/AA083355-5E86-48C8-BCB144F946C2AFD5/423x247-highestPerforma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854" cy="3048000"/>
                    </a:xfrm>
                    <a:prstGeom prst="rect">
                      <a:avLst/>
                    </a:prstGeom>
                    <a:noFill/>
                    <a:ln>
                      <a:noFill/>
                    </a:ln>
                  </pic:spPr>
                </pic:pic>
              </a:graphicData>
            </a:graphic>
          </wp:inline>
        </w:drawing>
      </w:r>
    </w:p>
    <w:p w:rsidR="00227FA8" w:rsidRDefault="00227FA8" w:rsidP="00227FA8">
      <w:pPr>
        <w:shd w:val="clear" w:color="auto" w:fill="FFFFFF"/>
        <w:spacing w:after="360" w:line="240" w:lineRule="auto"/>
        <w:rPr>
          <w:rFonts w:ascii="Arial" w:eastAsia="Times New Roman" w:hAnsi="Arial" w:cs="Arial"/>
          <w:color w:val="1A1A1A"/>
          <w:sz w:val="24"/>
          <w:szCs w:val="24"/>
          <w:lang w:eastAsia="en-GB"/>
        </w:rPr>
      </w:pPr>
    </w:p>
    <w:p w:rsidR="00227FA8" w:rsidRP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Suppliers placing temperature controls on the market and/or putting them into service must provide a product fiche, as defined in the regulation.</w:t>
      </w:r>
    </w:p>
    <w:p w:rsidR="00227FA8" w:rsidRP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This must include:</w:t>
      </w:r>
    </w:p>
    <w:p w:rsidR="00227FA8" w:rsidRP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a. The supplier's name or trade mark;</w:t>
      </w:r>
    </w:p>
    <w:p w:rsidR="00227FA8" w:rsidRP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b. The supplier's model identifier;</w:t>
      </w:r>
    </w:p>
    <w:p w:rsidR="00227FA8" w:rsidRPr="00227FA8" w:rsidRDefault="00227FA8" w:rsidP="00227FA8">
      <w:pPr>
        <w:shd w:val="clear" w:color="auto" w:fill="FFFFFF"/>
        <w:spacing w:after="360" w:line="240" w:lineRule="auto"/>
        <w:rPr>
          <w:rFonts w:ascii="Arial" w:eastAsia="Times New Roman" w:hAnsi="Arial" w:cs="Arial"/>
          <w:color w:val="1A1A1A"/>
          <w:sz w:val="24"/>
          <w:szCs w:val="24"/>
          <w:lang w:eastAsia="en-GB"/>
        </w:rPr>
      </w:pPr>
      <w:r w:rsidRPr="00227FA8">
        <w:rPr>
          <w:rFonts w:ascii="Arial" w:eastAsia="Times New Roman" w:hAnsi="Arial" w:cs="Arial"/>
          <w:color w:val="1A1A1A"/>
          <w:sz w:val="24"/>
          <w:szCs w:val="24"/>
          <w:lang w:eastAsia="en-GB"/>
        </w:rPr>
        <w:t>c. The class of the temperature control;</w:t>
      </w:r>
    </w:p>
    <w:p w:rsidR="00107BC3" w:rsidRDefault="00227FA8" w:rsidP="00227FA8">
      <w:r w:rsidRPr="00227FA8">
        <w:rPr>
          <w:rFonts w:ascii="Arial" w:eastAsia="Times New Roman" w:hAnsi="Arial" w:cs="Arial"/>
          <w:color w:val="1A1A1A"/>
          <w:sz w:val="24"/>
          <w:szCs w:val="24"/>
          <w:shd w:val="clear" w:color="auto" w:fill="FFFFFF"/>
          <w:lang w:eastAsia="en-GB"/>
        </w:rPr>
        <w:t>d. The % contribution of the temperature control to seasonal space heating energy efficiency</w:t>
      </w:r>
    </w:p>
    <w:sectPr w:rsidR="00107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A8"/>
    <w:rsid w:val="00107BC3"/>
    <w:rsid w:val="00227FA8"/>
    <w:rsid w:val="003D6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7CA4"/>
  <w15:chartTrackingRefBased/>
  <w15:docId w15:val="{0FD8C644-57CC-4094-8342-E00DCE2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27F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FA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27F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7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Timmins</dc:creator>
  <cp:keywords/>
  <dc:description/>
  <cp:lastModifiedBy>Colin Timmins</cp:lastModifiedBy>
  <cp:revision>2</cp:revision>
  <dcterms:created xsi:type="dcterms:W3CDTF">2018-11-12T12:24:00Z</dcterms:created>
  <dcterms:modified xsi:type="dcterms:W3CDTF">2018-11-12T12:30:00Z</dcterms:modified>
</cp:coreProperties>
</file>