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86" w:type="dxa"/>
        <w:tblInd w:w="57" w:type="dxa"/>
        <w:tblLayout w:type="fixed"/>
        <w:tblCellMar>
          <w:left w:w="57" w:type="dxa"/>
          <w:right w:w="57" w:type="dxa"/>
        </w:tblCellMar>
        <w:tblLook w:val="01E0" w:firstRow="1" w:lastRow="1" w:firstColumn="1" w:lastColumn="1" w:noHBand="0" w:noVBand="0"/>
      </w:tblPr>
      <w:tblGrid>
        <w:gridCol w:w="3487"/>
        <w:gridCol w:w="1553"/>
        <w:gridCol w:w="1800"/>
        <w:gridCol w:w="540"/>
        <w:gridCol w:w="360"/>
        <w:gridCol w:w="2546"/>
      </w:tblGrid>
      <w:tr w:rsidR="00D66ED6" w:rsidRPr="007B3E6C" w14:paraId="1D7F2025" w14:textId="77777777" w:rsidTr="00C15474">
        <w:trPr>
          <w:cantSplit/>
          <w:trHeight w:hRule="exact" w:val="1081"/>
        </w:trPr>
        <w:tc>
          <w:tcPr>
            <w:tcW w:w="3487" w:type="dxa"/>
            <w:vMerge w:val="restart"/>
          </w:tcPr>
          <w:p w14:paraId="273BED12" w14:textId="77777777" w:rsidR="00D66ED6" w:rsidRPr="007B3E6C" w:rsidRDefault="00D66ED6" w:rsidP="00C15474">
            <w:pPr>
              <w:tabs>
                <w:tab w:val="left" w:pos="900"/>
              </w:tabs>
            </w:pPr>
            <w:r>
              <w:rPr>
                <w:noProof/>
              </w:rPr>
              <w:drawing>
                <wp:inline distT="0" distB="0" distL="0" distR="0" wp14:anchorId="1F89B4BF" wp14:editId="00E7C0FB">
                  <wp:extent cx="2194560" cy="1158240"/>
                  <wp:effectExtent l="0" t="0" r="0" b="3810"/>
                  <wp:docPr id="2" name="Picture 1" descr="Dept for Business, Energy and Industrial Strat_294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t for Business, Energy and Industrial Strat_294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4560" cy="1158240"/>
                          </a:xfrm>
                          <a:prstGeom prst="rect">
                            <a:avLst/>
                          </a:prstGeom>
                          <a:noFill/>
                          <a:ln>
                            <a:noFill/>
                          </a:ln>
                        </pic:spPr>
                      </pic:pic>
                    </a:graphicData>
                  </a:graphic>
                </wp:inline>
              </w:drawing>
            </w:r>
          </w:p>
        </w:tc>
        <w:tc>
          <w:tcPr>
            <w:tcW w:w="3353" w:type="dxa"/>
            <w:gridSpan w:val="2"/>
            <w:shd w:val="clear" w:color="auto" w:fill="auto"/>
          </w:tcPr>
          <w:p w14:paraId="4102A082" w14:textId="77777777" w:rsidR="00D66ED6" w:rsidRPr="007B3E6C" w:rsidRDefault="00D66ED6" w:rsidP="00C15474"/>
        </w:tc>
        <w:tc>
          <w:tcPr>
            <w:tcW w:w="3446" w:type="dxa"/>
            <w:gridSpan w:val="3"/>
          </w:tcPr>
          <w:p w14:paraId="1CD47452" w14:textId="77777777" w:rsidR="00D66ED6" w:rsidRPr="007B3E6C" w:rsidRDefault="00D66ED6" w:rsidP="00C15474"/>
        </w:tc>
      </w:tr>
      <w:tr w:rsidR="00D66ED6" w:rsidRPr="00F24D45" w14:paraId="7BFCF7BF" w14:textId="77777777" w:rsidTr="00C15474">
        <w:trPr>
          <w:cantSplit/>
          <w:trHeight w:val="529"/>
        </w:trPr>
        <w:tc>
          <w:tcPr>
            <w:tcW w:w="3487" w:type="dxa"/>
            <w:vMerge/>
          </w:tcPr>
          <w:p w14:paraId="3100E151" w14:textId="77777777" w:rsidR="00D66ED6" w:rsidRPr="007B3E6C" w:rsidRDefault="00D66ED6" w:rsidP="00C15474"/>
        </w:tc>
        <w:tc>
          <w:tcPr>
            <w:tcW w:w="1553" w:type="dxa"/>
            <w:vMerge w:val="restart"/>
            <w:shd w:val="clear" w:color="auto" w:fill="auto"/>
          </w:tcPr>
          <w:p w14:paraId="09D0AAE8" w14:textId="77777777" w:rsidR="00D66ED6" w:rsidRPr="007137E8" w:rsidRDefault="00D66ED6" w:rsidP="00C15474">
            <w:pPr>
              <w:pStyle w:val="address"/>
              <w:rPr>
                <w:color w:val="000080"/>
              </w:rPr>
            </w:pPr>
          </w:p>
        </w:tc>
        <w:tc>
          <w:tcPr>
            <w:tcW w:w="1800" w:type="dxa"/>
            <w:vMerge w:val="restart"/>
            <w:shd w:val="clear" w:color="auto" w:fill="auto"/>
          </w:tcPr>
          <w:p w14:paraId="25394EE4" w14:textId="3AD5513F" w:rsidR="00D66ED6" w:rsidRPr="00E04697" w:rsidRDefault="00D66ED6" w:rsidP="00C15474">
            <w:pPr>
              <w:pStyle w:val="address"/>
              <w:rPr>
                <w:sz w:val="18"/>
                <w:szCs w:val="18"/>
              </w:rPr>
            </w:pPr>
          </w:p>
        </w:tc>
        <w:tc>
          <w:tcPr>
            <w:tcW w:w="540" w:type="dxa"/>
            <w:vMerge w:val="restart"/>
          </w:tcPr>
          <w:p w14:paraId="229434AE" w14:textId="77777777" w:rsidR="00D66ED6" w:rsidRPr="00380B55" w:rsidRDefault="00D66ED6" w:rsidP="00C15474">
            <w:pPr>
              <w:pStyle w:val="address"/>
              <w:jc w:val="both"/>
              <w:rPr>
                <w:color w:val="808080"/>
                <w:sz w:val="18"/>
                <w:szCs w:val="18"/>
                <w:lang w:val="fr-FR"/>
              </w:rPr>
            </w:pPr>
          </w:p>
        </w:tc>
        <w:tc>
          <w:tcPr>
            <w:tcW w:w="360" w:type="dxa"/>
            <w:vMerge w:val="restart"/>
          </w:tcPr>
          <w:p w14:paraId="1A614592" w14:textId="6F020060" w:rsidR="00D66ED6" w:rsidRPr="00E04697" w:rsidRDefault="00D66ED6" w:rsidP="00C15474">
            <w:pPr>
              <w:pStyle w:val="address"/>
              <w:rPr>
                <w:rFonts w:cs="Arial"/>
                <w:sz w:val="18"/>
                <w:szCs w:val="18"/>
              </w:rPr>
            </w:pPr>
          </w:p>
        </w:tc>
        <w:tc>
          <w:tcPr>
            <w:tcW w:w="2546" w:type="dxa"/>
            <w:tcBorders>
              <w:bottom w:val="nil"/>
            </w:tcBorders>
          </w:tcPr>
          <w:p w14:paraId="1E42993A" w14:textId="2B0E8323" w:rsidR="00D66ED6" w:rsidRPr="00E04697" w:rsidRDefault="00D66ED6" w:rsidP="00C15474">
            <w:pPr>
              <w:pStyle w:val="address"/>
              <w:rPr>
                <w:rFonts w:cs="Arial"/>
                <w:sz w:val="18"/>
                <w:szCs w:val="18"/>
              </w:rPr>
            </w:pPr>
          </w:p>
        </w:tc>
      </w:tr>
      <w:tr w:rsidR="00D66ED6" w:rsidRPr="00F24D45" w14:paraId="5007298C" w14:textId="77777777" w:rsidTr="00C15474">
        <w:trPr>
          <w:cantSplit/>
          <w:trHeight w:val="80"/>
        </w:trPr>
        <w:tc>
          <w:tcPr>
            <w:tcW w:w="3487" w:type="dxa"/>
            <w:vMerge/>
            <w:tcBorders>
              <w:bottom w:val="nil"/>
            </w:tcBorders>
          </w:tcPr>
          <w:p w14:paraId="32B944A3" w14:textId="77777777" w:rsidR="00D66ED6" w:rsidRPr="007B3E6C" w:rsidRDefault="00D66ED6" w:rsidP="00C15474"/>
        </w:tc>
        <w:tc>
          <w:tcPr>
            <w:tcW w:w="1553" w:type="dxa"/>
            <w:vMerge/>
            <w:tcBorders>
              <w:bottom w:val="nil"/>
            </w:tcBorders>
            <w:shd w:val="clear" w:color="auto" w:fill="auto"/>
          </w:tcPr>
          <w:p w14:paraId="088AEA93" w14:textId="77777777" w:rsidR="00D66ED6" w:rsidRPr="007137E8" w:rsidRDefault="00D66ED6" w:rsidP="00C15474">
            <w:pPr>
              <w:pStyle w:val="address"/>
              <w:rPr>
                <w:color w:val="000080"/>
              </w:rPr>
            </w:pPr>
          </w:p>
        </w:tc>
        <w:tc>
          <w:tcPr>
            <w:tcW w:w="1800" w:type="dxa"/>
            <w:vMerge/>
            <w:tcBorders>
              <w:bottom w:val="nil"/>
            </w:tcBorders>
            <w:shd w:val="clear" w:color="auto" w:fill="auto"/>
          </w:tcPr>
          <w:p w14:paraId="5455B635" w14:textId="77777777" w:rsidR="00D66ED6" w:rsidRPr="00E04697" w:rsidRDefault="00D66ED6" w:rsidP="00C15474">
            <w:pPr>
              <w:pStyle w:val="address"/>
              <w:rPr>
                <w:rStyle w:val="Hyperlink"/>
                <w:sz w:val="18"/>
                <w:szCs w:val="18"/>
              </w:rPr>
            </w:pPr>
          </w:p>
        </w:tc>
        <w:tc>
          <w:tcPr>
            <w:tcW w:w="540" w:type="dxa"/>
            <w:vMerge/>
            <w:tcBorders>
              <w:bottom w:val="nil"/>
            </w:tcBorders>
          </w:tcPr>
          <w:p w14:paraId="773C00EB" w14:textId="77777777" w:rsidR="00D66ED6" w:rsidRPr="002D2318" w:rsidRDefault="00D66ED6" w:rsidP="00C15474">
            <w:pPr>
              <w:pStyle w:val="address"/>
              <w:rPr>
                <w:color w:val="808080"/>
                <w:sz w:val="18"/>
                <w:szCs w:val="18"/>
              </w:rPr>
            </w:pPr>
          </w:p>
        </w:tc>
        <w:tc>
          <w:tcPr>
            <w:tcW w:w="360" w:type="dxa"/>
            <w:vMerge/>
            <w:tcBorders>
              <w:bottom w:val="nil"/>
            </w:tcBorders>
          </w:tcPr>
          <w:p w14:paraId="53FC2644" w14:textId="77777777" w:rsidR="00D66ED6" w:rsidRPr="002D2318" w:rsidRDefault="00D66ED6" w:rsidP="00C15474">
            <w:pPr>
              <w:pStyle w:val="address"/>
              <w:rPr>
                <w:color w:val="808080"/>
                <w:sz w:val="18"/>
                <w:szCs w:val="18"/>
              </w:rPr>
            </w:pPr>
          </w:p>
        </w:tc>
        <w:tc>
          <w:tcPr>
            <w:tcW w:w="2546" w:type="dxa"/>
            <w:tcBorders>
              <w:bottom w:val="nil"/>
            </w:tcBorders>
          </w:tcPr>
          <w:p w14:paraId="0B54D1F4" w14:textId="249AA6CB" w:rsidR="00D66ED6" w:rsidRPr="00380B55" w:rsidRDefault="00D66ED6" w:rsidP="00C15474">
            <w:pPr>
              <w:pStyle w:val="address"/>
              <w:rPr>
                <w:sz w:val="18"/>
                <w:szCs w:val="18"/>
              </w:rPr>
            </w:pPr>
          </w:p>
        </w:tc>
      </w:tr>
      <w:tr w:rsidR="00D66ED6" w:rsidRPr="007B3E6C" w14:paraId="1B4EFCB6" w14:textId="77777777" w:rsidTr="00C15474">
        <w:trPr>
          <w:cantSplit/>
          <w:trHeight w:val="519"/>
        </w:trPr>
        <w:tc>
          <w:tcPr>
            <w:tcW w:w="6840" w:type="dxa"/>
            <w:gridSpan w:val="3"/>
          </w:tcPr>
          <w:p w14:paraId="3DD1CAA2" w14:textId="77777777" w:rsidR="00D66ED6" w:rsidRDefault="00D66ED6" w:rsidP="00C15474"/>
        </w:tc>
        <w:tc>
          <w:tcPr>
            <w:tcW w:w="3446" w:type="dxa"/>
            <w:gridSpan w:val="3"/>
          </w:tcPr>
          <w:p w14:paraId="34577C79" w14:textId="77777777" w:rsidR="00D66ED6" w:rsidRDefault="00D66ED6" w:rsidP="00C15474">
            <w:pPr>
              <w:spacing w:line="360" w:lineRule="auto"/>
              <w:rPr>
                <w:rFonts w:cs="Arial"/>
                <w:sz w:val="16"/>
                <w:szCs w:val="16"/>
              </w:rPr>
            </w:pPr>
          </w:p>
        </w:tc>
      </w:tr>
    </w:tbl>
    <w:p w14:paraId="404181EC" w14:textId="77777777" w:rsidR="00D66ED6" w:rsidRDefault="00D66ED6" w:rsidP="00D66ED6">
      <w:pPr>
        <w:rPr>
          <w:rFonts w:cs="Arial"/>
          <w:color w:val="000000"/>
          <w:szCs w:val="22"/>
          <w:u w:val="single"/>
        </w:rPr>
      </w:pPr>
      <w:r w:rsidRPr="004B2382">
        <w:rPr>
          <w:rFonts w:cs="Arial"/>
          <w:color w:val="000000"/>
          <w:u w:val="single"/>
        </w:rPr>
        <w:t xml:space="preserve">Exemption Guidance: </w:t>
      </w:r>
      <w:r w:rsidRPr="004B2382">
        <w:rPr>
          <w:rFonts w:cs="Arial"/>
          <w:color w:val="000000"/>
          <w:szCs w:val="22"/>
          <w:u w:val="single"/>
        </w:rPr>
        <w:t>The Health Protection (Coronavirus, International Travel) (England) Regulations 2020</w:t>
      </w:r>
    </w:p>
    <w:p w14:paraId="2C22103B" w14:textId="77777777" w:rsidR="00D66ED6" w:rsidRDefault="00D66ED6" w:rsidP="00D66ED6">
      <w:pPr>
        <w:rPr>
          <w:rFonts w:cs="Arial"/>
          <w:color w:val="000000"/>
          <w:szCs w:val="22"/>
          <w:u w:val="single"/>
        </w:rPr>
      </w:pPr>
    </w:p>
    <w:p w14:paraId="177B0E6D" w14:textId="003C1D2C" w:rsidR="00DE5813" w:rsidRPr="004B2382" w:rsidRDefault="00DE5813" w:rsidP="00D66ED6">
      <w:r>
        <w:t>Dear Stakeholder,</w:t>
      </w:r>
    </w:p>
    <w:p w14:paraId="62803DA2" w14:textId="77777777" w:rsidR="00D66ED6" w:rsidRPr="004B2382" w:rsidRDefault="00D66ED6" w:rsidP="00D66ED6">
      <w:pPr>
        <w:rPr>
          <w:rFonts w:cs="Arial"/>
          <w:sz w:val="18"/>
          <w:szCs w:val="18"/>
          <w:u w:val="single"/>
        </w:rPr>
      </w:pPr>
    </w:p>
    <w:p w14:paraId="4F6823B4" w14:textId="5362B498" w:rsidR="001F29E3" w:rsidRDefault="00A25AA3" w:rsidP="007B5454">
      <w:pPr>
        <w:jc w:val="both"/>
        <w:rPr>
          <w:rFonts w:cs="Arial"/>
        </w:rPr>
      </w:pPr>
      <w:r>
        <w:rPr>
          <w:rFonts w:cs="Arial"/>
        </w:rPr>
        <w:t>As from the 8</w:t>
      </w:r>
      <w:r w:rsidRPr="00A25AA3">
        <w:rPr>
          <w:rFonts w:cs="Arial"/>
          <w:vertAlign w:val="superscript"/>
        </w:rPr>
        <w:t>th</w:t>
      </w:r>
      <w:r>
        <w:rPr>
          <w:rFonts w:cs="Arial"/>
        </w:rPr>
        <w:t xml:space="preserve"> June, anyone entering the UK w</w:t>
      </w:r>
      <w:r w:rsidR="00104F04">
        <w:rPr>
          <w:rFonts w:cs="Arial"/>
        </w:rPr>
        <w:t xml:space="preserve">ill be subject to a mandatory </w:t>
      </w:r>
      <w:r w:rsidR="00C60470">
        <w:rPr>
          <w:rFonts w:cs="Arial"/>
        </w:rPr>
        <w:t>14-day</w:t>
      </w:r>
      <w:r w:rsidR="00104F04">
        <w:rPr>
          <w:rFonts w:cs="Arial"/>
        </w:rPr>
        <w:t xml:space="preserve"> quarantine period</w:t>
      </w:r>
      <w:r w:rsidR="00B56BD6">
        <w:rPr>
          <w:rFonts w:cs="Arial"/>
        </w:rPr>
        <w:t xml:space="preserve"> </w:t>
      </w:r>
      <w:r w:rsidR="00B56BD6" w:rsidRPr="004B2382">
        <w:rPr>
          <w:rFonts w:cs="Arial"/>
        </w:rPr>
        <w:t xml:space="preserve">under the </w:t>
      </w:r>
      <w:r w:rsidR="00B56BD6" w:rsidRPr="004B2382">
        <w:rPr>
          <w:rFonts w:eastAsia="Calibri" w:cs="Arial"/>
        </w:rPr>
        <w:t>Health Protection (Coronavirus, International Travel) Regulations.</w:t>
      </w:r>
      <w:r w:rsidR="00B56BD6">
        <w:rPr>
          <w:rFonts w:eastAsia="Calibri" w:cs="Arial"/>
        </w:rPr>
        <w:t xml:space="preserve">  There are some limited exemptions to this</w:t>
      </w:r>
      <w:r w:rsidR="0022724D">
        <w:rPr>
          <w:rFonts w:eastAsia="Calibri" w:cs="Arial"/>
        </w:rPr>
        <w:t xml:space="preserve"> </w:t>
      </w:r>
      <w:r w:rsidR="001F6354">
        <w:rPr>
          <w:rFonts w:eastAsia="Calibri" w:cs="Arial"/>
        </w:rPr>
        <w:t xml:space="preserve">policy for which some of your workers </w:t>
      </w:r>
      <w:r w:rsidR="001F6354" w:rsidRPr="00F32111">
        <w:rPr>
          <w:rFonts w:eastAsia="Calibri" w:cs="Arial"/>
          <w:u w:val="single"/>
        </w:rPr>
        <w:t>may</w:t>
      </w:r>
      <w:r w:rsidR="001F6354">
        <w:rPr>
          <w:rFonts w:eastAsia="Calibri" w:cs="Arial"/>
        </w:rPr>
        <w:t xml:space="preserve"> qualify.</w:t>
      </w:r>
      <w:r w:rsidR="00653A7F">
        <w:rPr>
          <w:rFonts w:eastAsia="Calibri" w:cs="Arial"/>
        </w:rPr>
        <w:t xml:space="preserve"> </w:t>
      </w:r>
      <w:r w:rsidR="00211F56">
        <w:rPr>
          <w:rFonts w:eastAsia="Calibri" w:cs="Arial"/>
        </w:rPr>
        <w:t xml:space="preserve"> Companies will need to </w:t>
      </w:r>
      <w:r w:rsidR="009213D8">
        <w:rPr>
          <w:rFonts w:eastAsia="Calibri" w:cs="Arial"/>
        </w:rPr>
        <w:t>self-identify</w:t>
      </w:r>
      <w:r w:rsidR="00211F56">
        <w:rPr>
          <w:rFonts w:eastAsia="Calibri" w:cs="Arial"/>
        </w:rPr>
        <w:t xml:space="preserve"> if their workers are covered by exemptions based on the guidance on gov.uk and the</w:t>
      </w:r>
      <w:r w:rsidR="009213D8">
        <w:rPr>
          <w:rFonts w:eastAsia="Calibri" w:cs="Arial"/>
        </w:rPr>
        <w:t xml:space="preserve"> legal definitions included in the </w:t>
      </w:r>
      <w:r w:rsidR="00211F56">
        <w:rPr>
          <w:rFonts w:eastAsia="Calibri" w:cs="Arial"/>
        </w:rPr>
        <w:t>regulations</w:t>
      </w:r>
      <w:r w:rsidR="00C83D99">
        <w:rPr>
          <w:rFonts w:eastAsia="Calibri" w:cs="Arial"/>
        </w:rPr>
        <w:t xml:space="preserve"> – receipt of this guidance</w:t>
      </w:r>
      <w:r w:rsidR="008B2523">
        <w:rPr>
          <w:rFonts w:eastAsia="Calibri" w:cs="Arial"/>
        </w:rPr>
        <w:t xml:space="preserve"> from BEIS</w:t>
      </w:r>
      <w:r w:rsidR="00C83D99">
        <w:rPr>
          <w:rFonts w:eastAsia="Calibri" w:cs="Arial"/>
        </w:rPr>
        <w:t xml:space="preserve"> </w:t>
      </w:r>
      <w:r w:rsidR="005A5025">
        <w:rPr>
          <w:rFonts w:eastAsia="Calibri" w:cs="Arial"/>
        </w:rPr>
        <w:t>should</w:t>
      </w:r>
      <w:r w:rsidR="005C3C7C">
        <w:rPr>
          <w:rFonts w:eastAsia="Calibri" w:cs="Arial"/>
        </w:rPr>
        <w:t xml:space="preserve"> not be used t</w:t>
      </w:r>
      <w:r w:rsidR="005A5025">
        <w:rPr>
          <w:rFonts w:eastAsia="Calibri" w:cs="Arial"/>
        </w:rPr>
        <w:t>o</w:t>
      </w:r>
      <w:r w:rsidR="00F23B6C">
        <w:rPr>
          <w:rFonts w:eastAsia="Calibri" w:cs="Arial"/>
        </w:rPr>
        <w:t xml:space="preserve"> justify an exemption. </w:t>
      </w:r>
      <w:r w:rsidR="005A5025">
        <w:rPr>
          <w:rFonts w:eastAsia="Calibri" w:cs="Arial"/>
        </w:rPr>
        <w:t xml:space="preserve"> </w:t>
      </w:r>
      <w:r w:rsidR="00C83D99">
        <w:rPr>
          <w:rFonts w:eastAsia="Calibri" w:cs="Arial"/>
        </w:rPr>
        <w:t xml:space="preserve"> </w:t>
      </w:r>
      <w:r w:rsidR="00653A7F">
        <w:rPr>
          <w:rFonts w:eastAsia="Calibri" w:cs="Arial"/>
        </w:rPr>
        <w:t xml:space="preserve"> Where you believe your workers may be exempt, we ask that you provide them with a letter to </w:t>
      </w:r>
      <w:r w:rsidR="009E3539">
        <w:rPr>
          <w:rFonts w:eastAsia="Calibri" w:cs="Arial"/>
        </w:rPr>
        <w:t>justify their exemption</w:t>
      </w:r>
      <w:r w:rsidR="008B0515">
        <w:rPr>
          <w:rFonts w:eastAsia="Calibri" w:cs="Arial"/>
        </w:rPr>
        <w:t>. T</w:t>
      </w:r>
      <w:r w:rsidR="009E3539">
        <w:rPr>
          <w:rFonts w:eastAsia="Calibri" w:cs="Arial"/>
        </w:rPr>
        <w:t>he worker should ensure they have this on them when entering the UK and th</w:t>
      </w:r>
      <w:r w:rsidR="00941E79">
        <w:rPr>
          <w:rFonts w:eastAsia="Calibri" w:cs="Arial"/>
        </w:rPr>
        <w:t>roughout their stay in case of spot checks</w:t>
      </w:r>
      <w:r w:rsidR="00EE29F1">
        <w:rPr>
          <w:rFonts w:eastAsia="Calibri" w:cs="Arial"/>
        </w:rPr>
        <w:t xml:space="preserve">. </w:t>
      </w:r>
      <w:r w:rsidR="00D66ED6" w:rsidRPr="004B2382">
        <w:rPr>
          <w:rFonts w:cs="Arial"/>
        </w:rPr>
        <w:t xml:space="preserve"> </w:t>
      </w:r>
      <w:r w:rsidR="00D80A79">
        <w:rPr>
          <w:rFonts w:cs="Arial"/>
        </w:rPr>
        <w:t xml:space="preserve">We have provided a template for this letter </w:t>
      </w:r>
      <w:r w:rsidR="00E36B09">
        <w:rPr>
          <w:rFonts w:cs="Arial"/>
        </w:rPr>
        <w:t>in Annexe A,</w:t>
      </w:r>
      <w:r w:rsidR="00D80A79">
        <w:rPr>
          <w:rFonts w:cs="Arial"/>
        </w:rPr>
        <w:t xml:space="preserve"> which we would suggest you use</w:t>
      </w:r>
      <w:r w:rsidR="00F32111">
        <w:rPr>
          <w:rFonts w:cs="Arial"/>
        </w:rPr>
        <w:t>, although it is n</w:t>
      </w:r>
      <w:r w:rsidR="00B54309">
        <w:rPr>
          <w:rFonts w:cs="Arial"/>
        </w:rPr>
        <w:t>ot mandatory to use this template</w:t>
      </w:r>
      <w:r w:rsidR="00D80A79">
        <w:rPr>
          <w:rFonts w:cs="Arial"/>
        </w:rPr>
        <w:t>.</w:t>
      </w:r>
    </w:p>
    <w:p w14:paraId="178B2EEE" w14:textId="77777777" w:rsidR="001F29E3" w:rsidRDefault="001F29E3" w:rsidP="001F29E3"/>
    <w:p w14:paraId="556E4150" w14:textId="3354A4FB" w:rsidR="001F29E3" w:rsidRDefault="001F29E3" w:rsidP="001F29E3">
      <w:pPr>
        <w:jc w:val="both"/>
        <w:rPr>
          <w:rFonts w:ascii="Calibri" w:hAnsi="Calibri"/>
          <w:szCs w:val="22"/>
        </w:rPr>
      </w:pPr>
      <w:r>
        <w:t>Although some of your worker</w:t>
      </w:r>
      <w:r w:rsidR="001E63DC">
        <w:t>s</w:t>
      </w:r>
      <w:r>
        <w:t xml:space="preserve"> may be exempt, we would continue to advise you that all staff should follow the Foreign Office travel advice which can be found here:</w:t>
      </w:r>
    </w:p>
    <w:p w14:paraId="01CC8E35" w14:textId="77777777" w:rsidR="001F29E3" w:rsidRDefault="001F29E3" w:rsidP="001F29E3"/>
    <w:p w14:paraId="1F782933" w14:textId="77777777" w:rsidR="001F29E3" w:rsidRDefault="000B2B58" w:rsidP="001F29E3">
      <w:pPr>
        <w:rPr>
          <w:rFonts w:eastAsia="Arial" w:cs="Arial"/>
        </w:rPr>
      </w:pPr>
      <w:hyperlink r:id="rId8">
        <w:r w:rsidR="001F29E3" w:rsidRPr="1B8FF180">
          <w:rPr>
            <w:rStyle w:val="Hyperlink"/>
            <w:rFonts w:eastAsia="Arial" w:cs="Arial"/>
          </w:rPr>
          <w:t>https://www.gov.uk/foreign-travel-advice</w:t>
        </w:r>
      </w:hyperlink>
    </w:p>
    <w:p w14:paraId="01DD7450" w14:textId="551A3D48" w:rsidR="00D66ED6" w:rsidRPr="004B2382" w:rsidRDefault="00D80A79" w:rsidP="007B5454">
      <w:pPr>
        <w:jc w:val="both"/>
        <w:rPr>
          <w:rFonts w:eastAsia="Arial" w:cs="Arial"/>
        </w:rPr>
      </w:pPr>
      <w:r w:rsidRPr="1B8FF180">
        <w:rPr>
          <w:rFonts w:eastAsia="Arial" w:cs="Arial"/>
        </w:rPr>
        <w:t xml:space="preserve"> </w:t>
      </w:r>
    </w:p>
    <w:p w14:paraId="27C3CC99" w14:textId="04A4C73D" w:rsidR="00D66ED6" w:rsidRDefault="00D66ED6" w:rsidP="007B5454">
      <w:pPr>
        <w:jc w:val="both"/>
        <w:rPr>
          <w:rFonts w:eastAsia="Arial" w:cs="Arial"/>
        </w:rPr>
      </w:pPr>
      <w:r w:rsidRPr="1B8FF180">
        <w:rPr>
          <w:rFonts w:eastAsia="Arial" w:cs="Arial"/>
        </w:rPr>
        <w:t xml:space="preserve">The template must be completed with the individual details for each employee whom it is </w:t>
      </w:r>
      <w:proofErr w:type="gramStart"/>
      <w:r w:rsidRPr="1B8FF180">
        <w:rPr>
          <w:rFonts w:eastAsia="Arial" w:cs="Arial"/>
        </w:rPr>
        <w:t>absolutely necessary</w:t>
      </w:r>
      <w:proofErr w:type="gramEnd"/>
      <w:r w:rsidRPr="1B8FF180">
        <w:rPr>
          <w:rFonts w:eastAsia="Arial" w:cs="Arial"/>
        </w:rPr>
        <w:t xml:space="preserve"> to exempt.  A generic letter is not acceptable.  A clear justification must be provided for why the individual is exempt</w:t>
      </w:r>
      <w:r w:rsidR="00B54309">
        <w:rPr>
          <w:rFonts w:eastAsia="Arial" w:cs="Arial"/>
        </w:rPr>
        <w:t xml:space="preserve">.  </w:t>
      </w:r>
      <w:r w:rsidR="00CF42B6">
        <w:rPr>
          <w:rFonts w:eastAsia="Arial" w:cs="Arial"/>
        </w:rPr>
        <w:t xml:space="preserve">We would also suggest (although it is not compulsory) that you reference the relevant </w:t>
      </w:r>
      <w:r w:rsidR="00A6393A">
        <w:rPr>
          <w:rFonts w:eastAsia="Arial" w:cs="Arial"/>
        </w:rPr>
        <w:t xml:space="preserve">legal definition in the </w:t>
      </w:r>
      <w:r w:rsidRPr="1B8FF180">
        <w:rPr>
          <w:rFonts w:eastAsia="Arial" w:cs="Arial"/>
        </w:rPr>
        <w:t>Regulations</w:t>
      </w:r>
      <w:r w:rsidR="00A6393A">
        <w:rPr>
          <w:rFonts w:eastAsia="Arial" w:cs="Arial"/>
        </w:rPr>
        <w:t xml:space="preserve"> under which they are exempt</w:t>
      </w:r>
      <w:r w:rsidRPr="1B8FF180">
        <w:rPr>
          <w:rFonts w:eastAsia="Arial" w:cs="Arial"/>
        </w:rPr>
        <w:t xml:space="preserve">. The legal definitions in the Regulations covering exempt groups relevant to your sector are provided in Annexe </w:t>
      </w:r>
      <w:r w:rsidR="00E36B09" w:rsidRPr="1B8FF180">
        <w:rPr>
          <w:rFonts w:eastAsia="Arial" w:cs="Arial"/>
        </w:rPr>
        <w:t>B</w:t>
      </w:r>
      <w:r w:rsidR="000B42BB">
        <w:rPr>
          <w:rFonts w:eastAsia="Arial" w:cs="Arial"/>
        </w:rPr>
        <w:t>, the full regulations and all exemptions can be found</w:t>
      </w:r>
      <w:r w:rsidR="0026563E">
        <w:rPr>
          <w:rFonts w:eastAsia="Arial" w:cs="Arial"/>
        </w:rPr>
        <w:t xml:space="preserve"> </w:t>
      </w:r>
      <w:hyperlink r:id="rId9" w:history="1">
        <w:r w:rsidR="0026563E" w:rsidRPr="00225BBF">
          <w:rPr>
            <w:rStyle w:val="Hyperlink"/>
          </w:rPr>
          <w:t>http://www.legislation.gov.uk/uksi/2020/568/contents/made</w:t>
        </w:r>
      </w:hyperlink>
      <w:r w:rsidR="000B42BB">
        <w:rPr>
          <w:rFonts w:eastAsia="Arial" w:cs="Arial"/>
        </w:rPr>
        <w:t>)</w:t>
      </w:r>
      <w:r w:rsidRPr="1B8FF180">
        <w:rPr>
          <w:rFonts w:eastAsia="Arial" w:cs="Arial"/>
        </w:rPr>
        <w:t>.</w:t>
      </w:r>
    </w:p>
    <w:p w14:paraId="1D8CD185" w14:textId="77777777" w:rsidR="00D66ED6" w:rsidRPr="004B2382" w:rsidRDefault="00D66ED6" w:rsidP="007B5454">
      <w:pPr>
        <w:jc w:val="both"/>
        <w:rPr>
          <w:rFonts w:eastAsia="Arial" w:cs="Arial"/>
        </w:rPr>
      </w:pPr>
    </w:p>
    <w:p w14:paraId="3E4E8DD2" w14:textId="7E19D62B" w:rsidR="00D66ED6" w:rsidRDefault="00D66ED6" w:rsidP="007B5454">
      <w:pPr>
        <w:jc w:val="both"/>
        <w:rPr>
          <w:rFonts w:eastAsia="Arial" w:cs="Arial"/>
        </w:rPr>
      </w:pPr>
      <w:r w:rsidRPr="1B8FF180">
        <w:rPr>
          <w:rFonts w:eastAsia="Arial" w:cs="Arial"/>
        </w:rPr>
        <w:t xml:space="preserve">If individuals are known to your company then please distribute this letter directly to them. If you are contracting employees through another company, then this </w:t>
      </w:r>
      <w:r w:rsidR="000B42BB">
        <w:rPr>
          <w:rFonts w:eastAsia="Arial" w:cs="Arial"/>
        </w:rPr>
        <w:t xml:space="preserve">guidance and </w:t>
      </w:r>
      <w:r w:rsidRPr="1B8FF180">
        <w:rPr>
          <w:rFonts w:eastAsia="Arial" w:cs="Arial"/>
        </w:rPr>
        <w:t>template can be shared with the employer of individuals who will be travelling to the UK for them to complete and distribute to the worker.</w:t>
      </w:r>
      <w:r w:rsidR="00935F25" w:rsidRPr="1B8FF180">
        <w:rPr>
          <w:rFonts w:eastAsia="Arial" w:cs="Arial"/>
        </w:rPr>
        <w:t xml:space="preserve"> Contact details should also be provided for your company </w:t>
      </w:r>
      <w:r w:rsidR="00757ECD" w:rsidRPr="1B8FF180">
        <w:rPr>
          <w:rFonts w:eastAsia="Arial" w:cs="Arial"/>
        </w:rPr>
        <w:t xml:space="preserve">in case there are any </w:t>
      </w:r>
      <w:r w:rsidR="00DC0DCF" w:rsidRPr="1B8FF180">
        <w:rPr>
          <w:rFonts w:eastAsia="Arial" w:cs="Arial"/>
        </w:rPr>
        <w:t xml:space="preserve">concerns over the validity of the letter. </w:t>
      </w:r>
    </w:p>
    <w:p w14:paraId="68D34019" w14:textId="77777777" w:rsidR="00DC0DCF" w:rsidRDefault="00DC0DCF" w:rsidP="007B5454">
      <w:pPr>
        <w:jc w:val="both"/>
        <w:rPr>
          <w:rFonts w:eastAsia="Arial" w:cs="Arial"/>
        </w:rPr>
      </w:pPr>
    </w:p>
    <w:p w14:paraId="35A46165" w14:textId="77777777" w:rsidR="00F47645" w:rsidRDefault="00F47645" w:rsidP="007B5454">
      <w:pPr>
        <w:jc w:val="both"/>
        <w:rPr>
          <w:rFonts w:eastAsia="Arial" w:cs="Arial"/>
        </w:rPr>
      </w:pPr>
      <w:r w:rsidRPr="1B8FF180">
        <w:rPr>
          <w:rFonts w:eastAsia="Arial" w:cs="Arial"/>
        </w:rPr>
        <w:t xml:space="preserve">It is also important that you remind any worker entering the UK that they </w:t>
      </w:r>
      <w:r w:rsidRPr="00A6393A">
        <w:rPr>
          <w:rFonts w:eastAsia="Arial" w:cs="Arial"/>
          <w:b/>
          <w:bCs/>
          <w:u w:val="single"/>
        </w:rPr>
        <w:t>must abide by government guidance at all times</w:t>
      </w:r>
      <w:r w:rsidRPr="1B8FF180">
        <w:rPr>
          <w:rFonts w:eastAsia="Arial" w:cs="Arial"/>
        </w:rPr>
        <w:t xml:space="preserve">, links to this guidance have been provided below. </w:t>
      </w:r>
    </w:p>
    <w:p w14:paraId="72448063" w14:textId="77777777" w:rsidR="00F47645" w:rsidRDefault="00F47645" w:rsidP="007B5454">
      <w:pPr>
        <w:jc w:val="both"/>
        <w:rPr>
          <w:rFonts w:eastAsia="Arial" w:cs="Arial"/>
        </w:rPr>
      </w:pPr>
    </w:p>
    <w:p w14:paraId="2BB2AF7B" w14:textId="77777777" w:rsidR="00A25AFF" w:rsidRDefault="00A25AFF" w:rsidP="00A25AFF">
      <w:pPr>
        <w:rPr>
          <w:rFonts w:eastAsia="Arial" w:cs="Arial"/>
        </w:rPr>
      </w:pPr>
      <w:r w:rsidRPr="1B8FF180">
        <w:rPr>
          <w:rFonts w:eastAsia="Arial" w:cs="Arial"/>
        </w:rPr>
        <w:t xml:space="preserve">Social Distancing – </w:t>
      </w:r>
      <w:hyperlink r:id="rId10">
        <w:r w:rsidRPr="1B8FF180">
          <w:rPr>
            <w:rStyle w:val="Hyperlink"/>
            <w:rFonts w:eastAsia="Arial" w:cs="Arial"/>
            <w:color w:val="0070C0"/>
          </w:rPr>
          <w:t>https://www.gov.uk/government/publications/staying-alert-and-safe-social-distancing/staying-alert-and-safe-social-distancing</w:t>
        </w:r>
      </w:hyperlink>
      <w:r w:rsidRPr="1B8FF180">
        <w:rPr>
          <w:rFonts w:eastAsia="Arial" w:cs="Arial"/>
        </w:rPr>
        <w:t xml:space="preserve"> </w:t>
      </w:r>
    </w:p>
    <w:p w14:paraId="6CBBE25F" w14:textId="77777777" w:rsidR="00A25AFF" w:rsidRDefault="00A25AFF" w:rsidP="00A25AFF">
      <w:pPr>
        <w:rPr>
          <w:rFonts w:eastAsia="Arial" w:cs="Arial"/>
        </w:rPr>
      </w:pPr>
    </w:p>
    <w:p w14:paraId="0102C92B" w14:textId="77777777" w:rsidR="00A25AFF" w:rsidRDefault="00A25AFF" w:rsidP="00A25AFF">
      <w:pPr>
        <w:rPr>
          <w:rStyle w:val="eop"/>
          <w:rFonts w:eastAsia="Arial" w:cs="Arial"/>
          <w:color w:val="0070C0"/>
          <w:shd w:val="clear" w:color="auto" w:fill="FFFFFF"/>
        </w:rPr>
      </w:pPr>
      <w:r w:rsidRPr="1B8FF180">
        <w:rPr>
          <w:rFonts w:eastAsia="Arial" w:cs="Arial"/>
        </w:rPr>
        <w:t xml:space="preserve">Safer Working – </w:t>
      </w:r>
      <w:hyperlink r:id="rId11" w:tgtFrame="_blank" w:history="1">
        <w:r w:rsidRPr="1B8FF180">
          <w:rPr>
            <w:rStyle w:val="normaltextrun"/>
            <w:rFonts w:eastAsia="Arial" w:cs="Arial"/>
            <w:color w:val="0070C0"/>
            <w:u w:val="single"/>
            <w:shd w:val="clear" w:color="auto" w:fill="FFFFFF"/>
          </w:rPr>
          <w:t>https://www.gov.uk/guidance/working-safely-during-coronavirus-covid-19</w:t>
        </w:r>
      </w:hyperlink>
      <w:r w:rsidRPr="1B8FF180">
        <w:rPr>
          <w:rStyle w:val="normaltextrun"/>
          <w:rFonts w:eastAsia="Arial" w:cs="Arial"/>
          <w:i/>
          <w:color w:val="0070C0"/>
          <w:shd w:val="clear" w:color="auto" w:fill="FFFFFF"/>
        </w:rPr>
        <w:t> </w:t>
      </w:r>
      <w:r w:rsidRPr="1B8FF180">
        <w:rPr>
          <w:rStyle w:val="eop"/>
          <w:rFonts w:eastAsia="Arial" w:cs="Arial"/>
          <w:color w:val="0070C0"/>
          <w:shd w:val="clear" w:color="auto" w:fill="FFFFFF"/>
        </w:rPr>
        <w:t> </w:t>
      </w:r>
    </w:p>
    <w:p w14:paraId="30B2AF0E" w14:textId="77777777" w:rsidR="00A25AFF" w:rsidRDefault="00A25AFF" w:rsidP="00A25AFF">
      <w:pPr>
        <w:rPr>
          <w:rFonts w:eastAsia="Arial" w:cs="Arial"/>
        </w:rPr>
      </w:pPr>
    </w:p>
    <w:p w14:paraId="62EC3509" w14:textId="77777777" w:rsidR="00A25AFF" w:rsidRDefault="00A25AFF" w:rsidP="00A25AFF">
      <w:pPr>
        <w:rPr>
          <w:rFonts w:eastAsia="Arial" w:cs="Arial"/>
          <w:color w:val="0070C0"/>
        </w:rPr>
      </w:pPr>
      <w:r w:rsidRPr="1B8FF180">
        <w:rPr>
          <w:rFonts w:eastAsia="Arial" w:cs="Arial"/>
        </w:rPr>
        <w:t xml:space="preserve">Safer Travelling – </w:t>
      </w:r>
      <w:hyperlink r:id="rId12" w:tgtFrame="_blank" w:history="1">
        <w:r w:rsidRPr="1B8FF180">
          <w:rPr>
            <w:rStyle w:val="normaltextrun"/>
            <w:rFonts w:eastAsia="Arial" w:cs="Arial"/>
            <w:color w:val="0070C0"/>
            <w:u w:val="single"/>
            <w:shd w:val="clear" w:color="auto" w:fill="FFFFFF"/>
          </w:rPr>
          <w:t>https://www.gov.uk/guidance/coronavirus-covid-19-safer-travel-guidance-for-passengers</w:t>
        </w:r>
      </w:hyperlink>
      <w:r w:rsidRPr="1B8FF180">
        <w:rPr>
          <w:rStyle w:val="eop"/>
          <w:rFonts w:eastAsia="Arial" w:cs="Arial"/>
          <w:color w:val="0070C0"/>
          <w:shd w:val="clear" w:color="auto" w:fill="FFFFFF"/>
        </w:rPr>
        <w:t> </w:t>
      </w:r>
    </w:p>
    <w:p w14:paraId="27D028AF" w14:textId="7E392B71" w:rsidR="00D66ED6" w:rsidRPr="004B2382" w:rsidRDefault="00D66ED6" w:rsidP="007B5454">
      <w:pPr>
        <w:jc w:val="both"/>
        <w:rPr>
          <w:rFonts w:eastAsia="Arial" w:cs="Arial"/>
        </w:rPr>
      </w:pPr>
      <w:r w:rsidRPr="1B8FF180">
        <w:rPr>
          <w:rFonts w:eastAsia="Arial" w:cs="Arial"/>
        </w:rPr>
        <w:t xml:space="preserve"> </w:t>
      </w:r>
    </w:p>
    <w:p w14:paraId="77B58AED" w14:textId="724C81CA" w:rsidR="00D66ED6" w:rsidRDefault="006B19D9" w:rsidP="00D66ED6">
      <w:pPr>
        <w:rPr>
          <w:rFonts w:eastAsia="Calibri" w:cs="Arial"/>
        </w:rPr>
      </w:pPr>
      <w:r>
        <w:rPr>
          <w:rFonts w:eastAsia="Calibri" w:cs="Arial"/>
        </w:rPr>
        <w:t xml:space="preserve">Its also important to note that your employees are </w:t>
      </w:r>
      <w:r w:rsidRPr="001D7A20">
        <w:rPr>
          <w:rFonts w:eastAsia="Calibri" w:cs="Arial"/>
          <w:b/>
          <w:bCs/>
          <w:u w:val="single"/>
        </w:rPr>
        <w:t>not</w:t>
      </w:r>
      <w:r>
        <w:rPr>
          <w:rFonts w:eastAsia="Calibri" w:cs="Arial"/>
        </w:rPr>
        <w:t xml:space="preserve"> exempt from the requirement to provide </w:t>
      </w:r>
      <w:r w:rsidR="001D7A20">
        <w:rPr>
          <w:rFonts w:eastAsia="Calibri" w:cs="Arial"/>
        </w:rPr>
        <w:t>their information on entry to the UK. This should be done via an online form</w:t>
      </w:r>
      <w:r w:rsidR="00887B4D">
        <w:rPr>
          <w:rFonts w:eastAsia="Calibri" w:cs="Arial"/>
        </w:rPr>
        <w:t xml:space="preserve"> which will be available at </w:t>
      </w:r>
      <w:hyperlink r:id="rId13" w:history="1">
        <w:r w:rsidR="00887B4D">
          <w:rPr>
            <w:rStyle w:val="Hyperlink"/>
          </w:rPr>
          <w:t>https://www.gov.uk/uk-border-control</w:t>
        </w:r>
      </w:hyperlink>
      <w:r w:rsidR="007703CF">
        <w:t xml:space="preserve"> (This form may not be live at the time of issuing this guidance, but should be available shortly)</w:t>
      </w:r>
      <w:r w:rsidR="00160580">
        <w:rPr>
          <w:rFonts w:eastAsia="Calibri" w:cs="Arial"/>
        </w:rPr>
        <w:t xml:space="preserve"> </w:t>
      </w:r>
    </w:p>
    <w:p w14:paraId="0A9F9FA3" w14:textId="77777777" w:rsidR="00D66ED6" w:rsidRPr="004B2382" w:rsidRDefault="00D66ED6" w:rsidP="00D66ED6">
      <w:pPr>
        <w:rPr>
          <w:rFonts w:cs="Arial"/>
        </w:rPr>
      </w:pPr>
    </w:p>
    <w:p w14:paraId="23F634F7" w14:textId="0B77C1DA" w:rsidR="00B4288C" w:rsidRPr="004B2382" w:rsidRDefault="4040FD74" w:rsidP="1B8FF180">
      <w:pPr>
        <w:rPr>
          <w:rFonts w:eastAsia="Arial" w:cs="Arial"/>
          <w:u w:val="single"/>
        </w:rPr>
      </w:pPr>
      <w:r w:rsidRPr="1B8FF180">
        <w:rPr>
          <w:rFonts w:eastAsia="Arial" w:cs="Arial"/>
          <w:u w:val="single"/>
        </w:rPr>
        <w:t>Annexe A</w:t>
      </w:r>
    </w:p>
    <w:p w14:paraId="6853E25A" w14:textId="75EF7E00" w:rsidR="00D66ED6" w:rsidRPr="004B2382" w:rsidRDefault="006825BE" w:rsidP="00D66ED6">
      <w:pPr>
        <w:rPr>
          <w:rFonts w:eastAsia="Arial" w:cs="Arial"/>
        </w:rPr>
      </w:pPr>
      <w:r>
        <w:rPr>
          <w:rFonts w:eastAsia="Calibri" w:cs="Arial"/>
          <w:noProof/>
          <w:u w:val="single"/>
        </w:rPr>
        <w:drawing>
          <wp:anchor distT="0" distB="0" distL="114300" distR="114300" simplePos="0" relativeHeight="251658240" behindDoc="0" locked="0" layoutInCell="1" allowOverlap="1" wp14:anchorId="665986F1" wp14:editId="05BEC075">
            <wp:simplePos x="0" y="0"/>
            <wp:positionH relativeFrom="column">
              <wp:posOffset>3810</wp:posOffset>
            </wp:positionH>
            <wp:positionV relativeFrom="paragraph">
              <wp:posOffset>135890</wp:posOffset>
            </wp:positionV>
            <wp:extent cx="1533525" cy="7905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C7941" w14:textId="37E8B834" w:rsidR="00727418" w:rsidRDefault="00727418" w:rsidP="00727418">
      <w:pPr>
        <w:pStyle w:val="paragraph"/>
        <w:spacing w:before="0" w:beforeAutospacing="0" w:after="0" w:afterAutospacing="0"/>
        <w:jc w:val="right"/>
        <w:textAlignment w:val="baseline"/>
        <w:rPr>
          <w:rFonts w:ascii="Arial" w:eastAsia="Arial" w:hAnsi="Arial" w:cs="Arial"/>
          <w:sz w:val="18"/>
          <w:szCs w:val="18"/>
        </w:rPr>
      </w:pPr>
      <w:r w:rsidRPr="1B8FF180">
        <w:rPr>
          <w:rStyle w:val="normaltextrun"/>
          <w:rFonts w:ascii="Arial" w:eastAsia="Arial" w:hAnsi="Arial" w:cs="Arial"/>
          <w:i/>
          <w:sz w:val="22"/>
          <w:szCs w:val="22"/>
          <w:lang w:val="en-US"/>
        </w:rPr>
        <w:t>Company Name</w:t>
      </w:r>
      <w:r w:rsidRPr="1B8FF180">
        <w:rPr>
          <w:rStyle w:val="eop"/>
          <w:rFonts w:ascii="Arial" w:eastAsia="Arial" w:hAnsi="Arial" w:cs="Arial"/>
          <w:sz w:val="22"/>
          <w:szCs w:val="22"/>
        </w:rPr>
        <w:t> </w:t>
      </w:r>
    </w:p>
    <w:p w14:paraId="6E7482A2" w14:textId="77777777" w:rsidR="00727418" w:rsidRDefault="00727418" w:rsidP="00727418">
      <w:pPr>
        <w:pStyle w:val="paragraph"/>
        <w:spacing w:before="0" w:beforeAutospacing="0" w:after="0" w:afterAutospacing="0"/>
        <w:jc w:val="right"/>
        <w:textAlignment w:val="baseline"/>
        <w:rPr>
          <w:rFonts w:ascii="Arial" w:eastAsia="Arial" w:hAnsi="Arial" w:cs="Arial"/>
          <w:sz w:val="18"/>
          <w:szCs w:val="18"/>
        </w:rPr>
      </w:pPr>
      <w:r w:rsidRPr="1B8FF180">
        <w:rPr>
          <w:rStyle w:val="normaltextrun"/>
          <w:rFonts w:ascii="Arial" w:eastAsia="Arial" w:hAnsi="Arial" w:cs="Arial"/>
          <w:i/>
          <w:sz w:val="22"/>
          <w:szCs w:val="22"/>
          <w:lang w:val="en-US"/>
        </w:rPr>
        <w:t>Address</w:t>
      </w:r>
      <w:r w:rsidRPr="1B8FF180">
        <w:rPr>
          <w:rStyle w:val="eop"/>
          <w:rFonts w:ascii="Arial" w:eastAsia="Arial" w:hAnsi="Arial" w:cs="Arial"/>
          <w:sz w:val="22"/>
          <w:szCs w:val="22"/>
        </w:rPr>
        <w:t> </w:t>
      </w:r>
    </w:p>
    <w:p w14:paraId="06C480C2" w14:textId="77777777" w:rsidR="00727418" w:rsidRDefault="00727418" w:rsidP="00727418">
      <w:pPr>
        <w:pStyle w:val="paragraph"/>
        <w:spacing w:before="0" w:beforeAutospacing="0" w:after="0" w:afterAutospacing="0"/>
        <w:jc w:val="right"/>
        <w:textAlignment w:val="baseline"/>
        <w:rPr>
          <w:rFonts w:ascii="Arial" w:eastAsia="Arial" w:hAnsi="Arial" w:cs="Arial"/>
          <w:sz w:val="18"/>
          <w:szCs w:val="18"/>
        </w:rPr>
      </w:pPr>
      <w:r w:rsidRPr="1B8FF180">
        <w:rPr>
          <w:rStyle w:val="normaltextrun"/>
          <w:rFonts w:ascii="Arial" w:eastAsia="Arial" w:hAnsi="Arial" w:cs="Arial"/>
          <w:i/>
          <w:sz w:val="22"/>
          <w:szCs w:val="22"/>
          <w:lang w:val="en-US"/>
        </w:rPr>
        <w:t>City, Postcode</w:t>
      </w:r>
      <w:r w:rsidRPr="1B8FF180">
        <w:rPr>
          <w:rStyle w:val="eop"/>
          <w:rFonts w:ascii="Arial" w:eastAsia="Arial" w:hAnsi="Arial" w:cs="Arial"/>
          <w:sz w:val="22"/>
          <w:szCs w:val="22"/>
        </w:rPr>
        <w:t> </w:t>
      </w:r>
    </w:p>
    <w:p w14:paraId="3B8C485A" w14:textId="77777777" w:rsidR="00727418" w:rsidRDefault="00727418" w:rsidP="00727418">
      <w:pPr>
        <w:pStyle w:val="paragraph"/>
        <w:spacing w:before="0" w:beforeAutospacing="0" w:after="0" w:afterAutospacing="0"/>
        <w:jc w:val="right"/>
        <w:textAlignment w:val="baseline"/>
        <w:rPr>
          <w:rFonts w:ascii="Arial" w:eastAsia="Arial" w:hAnsi="Arial" w:cs="Arial"/>
          <w:sz w:val="18"/>
          <w:szCs w:val="18"/>
        </w:rPr>
      </w:pPr>
      <w:r w:rsidRPr="1B8FF180">
        <w:rPr>
          <w:rStyle w:val="normaltextrun"/>
          <w:rFonts w:ascii="Arial" w:eastAsia="Arial" w:hAnsi="Arial" w:cs="Arial"/>
          <w:i/>
          <w:sz w:val="22"/>
          <w:szCs w:val="22"/>
          <w:lang w:val="en-US"/>
        </w:rPr>
        <w:t>Phone Number</w:t>
      </w:r>
      <w:r w:rsidRPr="1B8FF180">
        <w:rPr>
          <w:rStyle w:val="eop"/>
          <w:rFonts w:ascii="Arial" w:eastAsia="Arial" w:hAnsi="Arial" w:cs="Arial"/>
          <w:sz w:val="22"/>
          <w:szCs w:val="22"/>
        </w:rPr>
        <w:t> </w:t>
      </w:r>
    </w:p>
    <w:p w14:paraId="0FC06F2D" w14:textId="77777777" w:rsidR="00727418" w:rsidRDefault="00727418" w:rsidP="00727418">
      <w:pPr>
        <w:pStyle w:val="paragraph"/>
        <w:spacing w:before="0" w:beforeAutospacing="0" w:after="0" w:afterAutospacing="0"/>
        <w:jc w:val="both"/>
        <w:textAlignment w:val="baseline"/>
        <w:rPr>
          <w:rFonts w:ascii="Arial" w:eastAsia="Arial" w:hAnsi="Arial" w:cs="Arial"/>
          <w:sz w:val="18"/>
          <w:szCs w:val="18"/>
        </w:rPr>
      </w:pPr>
      <w:r w:rsidRPr="1B8FF180">
        <w:rPr>
          <w:rStyle w:val="eop"/>
          <w:rFonts w:ascii="Arial" w:eastAsia="Arial" w:hAnsi="Arial" w:cs="Arial"/>
          <w:sz w:val="22"/>
          <w:szCs w:val="22"/>
        </w:rPr>
        <w:t> </w:t>
      </w:r>
    </w:p>
    <w:p w14:paraId="6475D9F4" w14:textId="77777777" w:rsidR="00727418" w:rsidRDefault="00727418" w:rsidP="00727418">
      <w:pPr>
        <w:pStyle w:val="paragraph"/>
        <w:spacing w:before="0" w:beforeAutospacing="0" w:after="0" w:afterAutospacing="0"/>
        <w:jc w:val="right"/>
        <w:textAlignment w:val="baseline"/>
        <w:rPr>
          <w:rFonts w:ascii="Arial" w:eastAsia="Arial" w:hAnsi="Arial" w:cs="Arial"/>
          <w:sz w:val="18"/>
          <w:szCs w:val="18"/>
        </w:rPr>
      </w:pPr>
      <w:r w:rsidRPr="1B8FF180">
        <w:rPr>
          <w:rStyle w:val="normaltextrun"/>
          <w:rFonts w:ascii="Arial" w:eastAsia="Arial" w:hAnsi="Arial" w:cs="Arial"/>
          <w:i/>
          <w:sz w:val="22"/>
          <w:szCs w:val="22"/>
          <w:lang w:val="en-US"/>
        </w:rPr>
        <w:t>Date</w:t>
      </w:r>
      <w:r w:rsidRPr="1B8FF180">
        <w:rPr>
          <w:rStyle w:val="eop"/>
          <w:rFonts w:ascii="Arial" w:eastAsia="Arial" w:hAnsi="Arial" w:cs="Arial"/>
          <w:sz w:val="22"/>
          <w:szCs w:val="22"/>
        </w:rPr>
        <w:t> </w:t>
      </w:r>
    </w:p>
    <w:p w14:paraId="18373FDB" w14:textId="77777777" w:rsidR="00727418" w:rsidRDefault="00727418" w:rsidP="00727418">
      <w:pPr>
        <w:pStyle w:val="paragraph"/>
        <w:spacing w:before="0" w:beforeAutospacing="0" w:after="0" w:afterAutospacing="0"/>
        <w:jc w:val="both"/>
        <w:textAlignment w:val="baseline"/>
        <w:rPr>
          <w:rFonts w:ascii="Arial" w:eastAsia="Arial" w:hAnsi="Arial" w:cs="Arial"/>
          <w:sz w:val="18"/>
          <w:szCs w:val="18"/>
        </w:rPr>
      </w:pPr>
      <w:r w:rsidRPr="1B8FF180">
        <w:rPr>
          <w:rStyle w:val="eop"/>
          <w:rFonts w:ascii="Arial" w:eastAsia="Arial" w:hAnsi="Arial" w:cs="Arial"/>
          <w:sz w:val="22"/>
          <w:szCs w:val="22"/>
        </w:rPr>
        <w:t> </w:t>
      </w:r>
    </w:p>
    <w:p w14:paraId="1A9982B6" w14:textId="77777777" w:rsidR="00727418" w:rsidRDefault="00727418" w:rsidP="00727418">
      <w:pPr>
        <w:pStyle w:val="paragraph"/>
        <w:spacing w:before="0" w:beforeAutospacing="0" w:after="0" w:afterAutospacing="0"/>
        <w:jc w:val="both"/>
        <w:textAlignment w:val="baseline"/>
        <w:rPr>
          <w:rFonts w:ascii="Arial" w:eastAsia="Arial" w:hAnsi="Arial" w:cs="Arial"/>
          <w:sz w:val="18"/>
          <w:szCs w:val="18"/>
        </w:rPr>
      </w:pPr>
      <w:r w:rsidRPr="1B8FF180">
        <w:rPr>
          <w:rStyle w:val="normaltextrun"/>
          <w:rFonts w:ascii="Arial" w:eastAsia="Arial" w:hAnsi="Arial" w:cs="Arial"/>
          <w:i/>
          <w:sz w:val="22"/>
          <w:szCs w:val="22"/>
          <w:lang w:val="en-US"/>
        </w:rPr>
        <w:t>Recipient Name</w:t>
      </w:r>
      <w:r w:rsidRPr="1B8FF180">
        <w:rPr>
          <w:rStyle w:val="eop"/>
          <w:rFonts w:ascii="Arial" w:eastAsia="Arial" w:hAnsi="Arial" w:cs="Arial"/>
          <w:sz w:val="22"/>
          <w:szCs w:val="22"/>
        </w:rPr>
        <w:t> </w:t>
      </w:r>
    </w:p>
    <w:p w14:paraId="0E3844E8" w14:textId="77777777" w:rsidR="00727418" w:rsidRDefault="00727418" w:rsidP="00727418">
      <w:pPr>
        <w:pStyle w:val="paragraph"/>
        <w:spacing w:before="0" w:beforeAutospacing="0" w:after="0" w:afterAutospacing="0"/>
        <w:jc w:val="both"/>
        <w:textAlignment w:val="baseline"/>
        <w:rPr>
          <w:rFonts w:ascii="Arial" w:eastAsia="Arial" w:hAnsi="Arial" w:cs="Arial"/>
          <w:sz w:val="18"/>
          <w:szCs w:val="18"/>
        </w:rPr>
      </w:pPr>
      <w:r w:rsidRPr="1B8FF180">
        <w:rPr>
          <w:rStyle w:val="normaltextrun"/>
          <w:rFonts w:ascii="Arial" w:eastAsia="Arial" w:hAnsi="Arial" w:cs="Arial"/>
          <w:i/>
          <w:sz w:val="22"/>
          <w:szCs w:val="22"/>
          <w:lang w:val="en-US"/>
        </w:rPr>
        <w:t>Address</w:t>
      </w:r>
      <w:r w:rsidRPr="1B8FF180">
        <w:rPr>
          <w:rStyle w:val="eop"/>
          <w:rFonts w:ascii="Arial" w:eastAsia="Arial" w:hAnsi="Arial" w:cs="Arial"/>
          <w:sz w:val="22"/>
          <w:szCs w:val="22"/>
        </w:rPr>
        <w:t> </w:t>
      </w:r>
    </w:p>
    <w:p w14:paraId="1FB82205" w14:textId="77777777" w:rsidR="005128F5" w:rsidRDefault="00727418" w:rsidP="005128F5">
      <w:pPr>
        <w:pStyle w:val="paragraph"/>
        <w:spacing w:before="0" w:beforeAutospacing="0" w:after="0" w:afterAutospacing="0"/>
        <w:jc w:val="both"/>
        <w:textAlignment w:val="baseline"/>
        <w:rPr>
          <w:rStyle w:val="eop"/>
          <w:rFonts w:ascii="Arial" w:eastAsia="Arial" w:hAnsi="Arial" w:cs="Arial"/>
          <w:sz w:val="22"/>
          <w:szCs w:val="22"/>
        </w:rPr>
      </w:pPr>
      <w:r w:rsidRPr="1B8FF180">
        <w:rPr>
          <w:rStyle w:val="normaltextrun"/>
          <w:rFonts w:ascii="Arial" w:eastAsia="Arial" w:hAnsi="Arial" w:cs="Arial"/>
          <w:i/>
          <w:sz w:val="22"/>
          <w:szCs w:val="22"/>
          <w:lang w:val="en-US"/>
        </w:rPr>
        <w:t>City, Postcode</w:t>
      </w:r>
      <w:r w:rsidRPr="1B8FF180">
        <w:rPr>
          <w:rStyle w:val="eop"/>
          <w:rFonts w:ascii="Arial" w:eastAsia="Arial" w:hAnsi="Arial" w:cs="Arial"/>
          <w:sz w:val="22"/>
          <w:szCs w:val="22"/>
        </w:rPr>
        <w:t> </w:t>
      </w:r>
    </w:p>
    <w:p w14:paraId="485B8127" w14:textId="77777777" w:rsidR="006825BE" w:rsidRDefault="006825BE" w:rsidP="00727418">
      <w:pPr>
        <w:pStyle w:val="paragraph"/>
        <w:spacing w:before="0" w:beforeAutospacing="0" w:after="0" w:afterAutospacing="0"/>
        <w:jc w:val="both"/>
        <w:textAlignment w:val="baseline"/>
        <w:rPr>
          <w:rFonts w:ascii="Arial" w:eastAsia="Arial" w:hAnsi="Arial" w:cs="Arial"/>
          <w:sz w:val="18"/>
          <w:szCs w:val="18"/>
        </w:rPr>
      </w:pPr>
    </w:p>
    <w:p w14:paraId="75FDD3F5" w14:textId="77777777" w:rsidR="005128F5" w:rsidRDefault="00727418" w:rsidP="005128F5">
      <w:pPr>
        <w:pStyle w:val="paragraph"/>
        <w:spacing w:before="0" w:beforeAutospacing="0" w:after="0" w:afterAutospacing="0"/>
        <w:jc w:val="both"/>
        <w:textAlignment w:val="baseline"/>
        <w:rPr>
          <w:rStyle w:val="eop"/>
          <w:rFonts w:ascii="Arial" w:eastAsia="Arial" w:hAnsi="Arial" w:cs="Arial"/>
          <w:sz w:val="22"/>
          <w:szCs w:val="22"/>
        </w:rPr>
      </w:pPr>
      <w:r w:rsidRPr="1B8FF180">
        <w:rPr>
          <w:rStyle w:val="normaltextrun"/>
          <w:rFonts w:ascii="Arial" w:eastAsia="Arial" w:hAnsi="Arial" w:cs="Arial"/>
          <w:sz w:val="22"/>
          <w:szCs w:val="22"/>
        </w:rPr>
        <w:t>Dear [</w:t>
      </w:r>
      <w:r w:rsidRPr="1B8FF180">
        <w:rPr>
          <w:rStyle w:val="normaltextrun"/>
          <w:rFonts w:ascii="Arial" w:eastAsia="Arial" w:hAnsi="Arial" w:cs="Arial"/>
          <w:i/>
          <w:sz w:val="22"/>
          <w:szCs w:val="22"/>
        </w:rPr>
        <w:t>exempt individual name</w:t>
      </w:r>
      <w:r w:rsidRPr="1B8FF180">
        <w:rPr>
          <w:rStyle w:val="normaltextrun"/>
          <w:rFonts w:ascii="Arial" w:eastAsia="Arial" w:hAnsi="Arial" w:cs="Arial"/>
          <w:sz w:val="22"/>
          <w:szCs w:val="22"/>
        </w:rPr>
        <w:t>], </w:t>
      </w:r>
      <w:r w:rsidRPr="1B8FF180">
        <w:rPr>
          <w:rStyle w:val="eop"/>
          <w:rFonts w:ascii="Arial" w:eastAsia="Arial" w:hAnsi="Arial" w:cs="Arial"/>
          <w:sz w:val="22"/>
          <w:szCs w:val="22"/>
        </w:rPr>
        <w:t> </w:t>
      </w:r>
    </w:p>
    <w:p w14:paraId="000541DA" w14:textId="77777777" w:rsidR="006825BE" w:rsidRDefault="006825BE" w:rsidP="00727418">
      <w:pPr>
        <w:pStyle w:val="paragraph"/>
        <w:spacing w:before="0" w:beforeAutospacing="0" w:after="0" w:afterAutospacing="0"/>
        <w:jc w:val="both"/>
        <w:textAlignment w:val="baseline"/>
        <w:rPr>
          <w:rFonts w:ascii="Arial" w:eastAsia="Arial" w:hAnsi="Arial" w:cs="Arial"/>
          <w:sz w:val="18"/>
          <w:szCs w:val="18"/>
        </w:rPr>
      </w:pPr>
    </w:p>
    <w:p w14:paraId="25B95C69" w14:textId="77777777" w:rsidR="005128F5" w:rsidRDefault="00727418" w:rsidP="005128F5">
      <w:pPr>
        <w:pStyle w:val="paragraph"/>
        <w:spacing w:before="0" w:beforeAutospacing="0" w:after="0" w:afterAutospacing="0"/>
        <w:jc w:val="both"/>
        <w:textAlignment w:val="baseline"/>
        <w:rPr>
          <w:rStyle w:val="eop"/>
          <w:rFonts w:ascii="Arial" w:eastAsia="Arial" w:hAnsi="Arial" w:cs="Arial"/>
          <w:sz w:val="22"/>
          <w:szCs w:val="22"/>
        </w:rPr>
      </w:pPr>
      <w:r w:rsidRPr="1B8FF180">
        <w:rPr>
          <w:rStyle w:val="normaltextrun"/>
          <w:rFonts w:ascii="Arial" w:eastAsia="Arial" w:hAnsi="Arial" w:cs="Arial"/>
          <w:sz w:val="22"/>
          <w:szCs w:val="22"/>
        </w:rPr>
        <w:t>Please provide this letter as evidence that you are exempt from reg. 4 of the Health Protection (Coronavirus, International Travel) Regulations requiring a self-isolation period of 14 days.</w:t>
      </w:r>
      <w:r w:rsidRPr="1B8FF180">
        <w:rPr>
          <w:rStyle w:val="eop"/>
          <w:rFonts w:ascii="Arial" w:eastAsia="Arial" w:hAnsi="Arial" w:cs="Arial"/>
          <w:sz w:val="22"/>
          <w:szCs w:val="22"/>
        </w:rPr>
        <w:t> </w:t>
      </w:r>
    </w:p>
    <w:p w14:paraId="189C1F37" w14:textId="77777777" w:rsidR="006825BE" w:rsidRDefault="006825BE" w:rsidP="00727418">
      <w:pPr>
        <w:pStyle w:val="paragraph"/>
        <w:spacing w:before="0" w:beforeAutospacing="0" w:after="0" w:afterAutospacing="0"/>
        <w:jc w:val="both"/>
        <w:textAlignment w:val="baseline"/>
        <w:rPr>
          <w:rFonts w:ascii="Arial" w:eastAsia="Arial" w:hAnsi="Arial" w:cs="Arial"/>
          <w:sz w:val="18"/>
          <w:szCs w:val="18"/>
        </w:rPr>
      </w:pPr>
    </w:p>
    <w:p w14:paraId="531AEC1B" w14:textId="3507CEC4" w:rsidR="005128F5" w:rsidRDefault="00727418" w:rsidP="005128F5">
      <w:pPr>
        <w:pStyle w:val="paragraph"/>
        <w:spacing w:before="0" w:beforeAutospacing="0" w:after="0" w:afterAutospacing="0"/>
        <w:jc w:val="both"/>
        <w:textAlignment w:val="baseline"/>
        <w:rPr>
          <w:rStyle w:val="eop"/>
          <w:rFonts w:ascii="Arial" w:eastAsia="Arial" w:hAnsi="Arial" w:cs="Arial"/>
          <w:sz w:val="22"/>
          <w:szCs w:val="22"/>
        </w:rPr>
      </w:pPr>
      <w:r w:rsidRPr="1B8FF180">
        <w:rPr>
          <w:rStyle w:val="normaltextrun"/>
          <w:rFonts w:ascii="Arial" w:eastAsia="Arial" w:hAnsi="Arial" w:cs="Arial"/>
          <w:sz w:val="22"/>
          <w:szCs w:val="22"/>
        </w:rPr>
        <w:t>The purpose of travel to the United Kingdom is [</w:t>
      </w:r>
      <w:r w:rsidRPr="1B8FF180">
        <w:rPr>
          <w:rStyle w:val="normaltextrun"/>
          <w:rFonts w:ascii="Arial" w:eastAsia="Arial" w:hAnsi="Arial" w:cs="Arial"/>
          <w:i/>
          <w:sz w:val="22"/>
          <w:szCs w:val="22"/>
        </w:rPr>
        <w:t>please provide details of purpose of travel as relevant to exemption, such as details of the essential work to be conducted and the date &amp; locations this will be conducted at]. </w:t>
      </w:r>
      <w:r w:rsidRPr="1B8FF180">
        <w:rPr>
          <w:rStyle w:val="normaltextrun"/>
          <w:rFonts w:ascii="Arial" w:eastAsia="Arial" w:hAnsi="Arial" w:cs="Arial"/>
          <w:sz w:val="22"/>
          <w:szCs w:val="22"/>
        </w:rPr>
        <w:t xml:space="preserve">This purpose of travel is exempt from reg. 4 as specified </w:t>
      </w:r>
      <w:r w:rsidR="004C7793">
        <w:rPr>
          <w:rStyle w:val="normaltextrun"/>
          <w:rFonts w:ascii="Arial" w:eastAsia="Arial" w:hAnsi="Arial" w:cs="Arial"/>
          <w:sz w:val="22"/>
          <w:szCs w:val="22"/>
        </w:rPr>
        <w:t>by the following exemption</w:t>
      </w:r>
      <w:r w:rsidRPr="1B8FF180">
        <w:rPr>
          <w:rStyle w:val="normaltextrun"/>
          <w:rFonts w:ascii="Arial" w:eastAsia="Arial" w:hAnsi="Arial" w:cs="Arial"/>
          <w:sz w:val="22"/>
          <w:szCs w:val="22"/>
        </w:rPr>
        <w:t xml:space="preserve"> [</w:t>
      </w:r>
      <w:r w:rsidRPr="1B8FF180">
        <w:rPr>
          <w:rStyle w:val="normaltextrun"/>
          <w:rFonts w:ascii="Arial" w:eastAsia="Arial" w:hAnsi="Arial" w:cs="Arial"/>
          <w:i/>
          <w:sz w:val="22"/>
          <w:szCs w:val="22"/>
        </w:rPr>
        <w:t>please provide the</w:t>
      </w:r>
      <w:r w:rsidR="00B8670F">
        <w:rPr>
          <w:rStyle w:val="normaltextrun"/>
          <w:rFonts w:ascii="Arial" w:eastAsia="Arial" w:hAnsi="Arial" w:cs="Arial"/>
          <w:i/>
          <w:sz w:val="22"/>
          <w:szCs w:val="22"/>
        </w:rPr>
        <w:t xml:space="preserve"> relevant </w:t>
      </w:r>
      <w:r w:rsidRPr="1B8FF180">
        <w:rPr>
          <w:rStyle w:val="normaltextrun"/>
          <w:rFonts w:ascii="Arial" w:eastAsia="Arial" w:hAnsi="Arial" w:cs="Arial"/>
          <w:i/>
          <w:sz w:val="22"/>
          <w:szCs w:val="22"/>
        </w:rPr>
        <w:t xml:space="preserve">legal </w:t>
      </w:r>
      <w:r w:rsidR="00B8670F">
        <w:rPr>
          <w:rStyle w:val="normaltextrun"/>
          <w:rFonts w:ascii="Arial" w:eastAsia="Arial" w:hAnsi="Arial" w:cs="Arial"/>
          <w:i/>
          <w:sz w:val="22"/>
          <w:szCs w:val="22"/>
        </w:rPr>
        <w:t xml:space="preserve">text for </w:t>
      </w:r>
      <w:r w:rsidRPr="1B8FF180">
        <w:rPr>
          <w:rStyle w:val="normaltextrun"/>
          <w:rFonts w:ascii="Arial" w:eastAsia="Arial" w:hAnsi="Arial" w:cs="Arial"/>
          <w:i/>
          <w:sz w:val="22"/>
          <w:szCs w:val="22"/>
        </w:rPr>
        <w:t>the exemption</w:t>
      </w:r>
      <w:r w:rsidR="00981093">
        <w:rPr>
          <w:rStyle w:val="normaltextrun"/>
          <w:rFonts w:ascii="Arial" w:eastAsia="Arial" w:hAnsi="Arial" w:cs="Arial"/>
          <w:i/>
          <w:sz w:val="22"/>
          <w:szCs w:val="22"/>
        </w:rPr>
        <w:t xml:space="preserve"> from Schedule 2</w:t>
      </w:r>
      <w:r w:rsidR="00D832BE">
        <w:rPr>
          <w:rStyle w:val="normaltextrun"/>
          <w:rFonts w:ascii="Arial" w:eastAsia="Arial" w:hAnsi="Arial" w:cs="Arial"/>
          <w:i/>
          <w:sz w:val="22"/>
          <w:szCs w:val="22"/>
        </w:rPr>
        <w:t>, Part 2</w:t>
      </w:r>
      <w:r w:rsidR="00981093">
        <w:rPr>
          <w:rStyle w:val="normaltextrun"/>
          <w:rFonts w:ascii="Arial" w:eastAsia="Arial" w:hAnsi="Arial" w:cs="Arial"/>
          <w:i/>
          <w:sz w:val="22"/>
          <w:szCs w:val="22"/>
        </w:rPr>
        <w:t xml:space="preserve"> of</w:t>
      </w:r>
      <w:r w:rsidRPr="1B8FF180">
        <w:rPr>
          <w:rStyle w:val="normaltextrun"/>
          <w:rFonts w:ascii="Arial" w:eastAsia="Arial" w:hAnsi="Arial" w:cs="Arial"/>
          <w:i/>
          <w:sz w:val="22"/>
          <w:szCs w:val="22"/>
        </w:rPr>
        <w:t xml:space="preserve"> the Regulations</w:t>
      </w:r>
      <w:r w:rsidRPr="1B8FF180">
        <w:rPr>
          <w:rStyle w:val="normaltextrun"/>
          <w:rFonts w:ascii="Arial" w:eastAsia="Arial" w:hAnsi="Arial" w:cs="Arial"/>
          <w:sz w:val="22"/>
          <w:szCs w:val="22"/>
        </w:rPr>
        <w:t>].</w:t>
      </w:r>
    </w:p>
    <w:p w14:paraId="45DD0852" w14:textId="77777777" w:rsidR="006825BE" w:rsidRDefault="006825BE" w:rsidP="00727418">
      <w:pPr>
        <w:pStyle w:val="paragraph"/>
        <w:spacing w:before="0" w:beforeAutospacing="0" w:after="0" w:afterAutospacing="0"/>
        <w:jc w:val="both"/>
        <w:textAlignment w:val="baseline"/>
        <w:rPr>
          <w:rFonts w:ascii="Arial" w:eastAsia="Arial" w:hAnsi="Arial" w:cs="Arial"/>
          <w:sz w:val="18"/>
          <w:szCs w:val="18"/>
        </w:rPr>
      </w:pPr>
    </w:p>
    <w:p w14:paraId="4AE097FB" w14:textId="60070AAF" w:rsidR="00C60470" w:rsidRPr="00C60470" w:rsidRDefault="00727418" w:rsidP="00C60470">
      <w:pPr>
        <w:pStyle w:val="paragraph"/>
        <w:spacing w:before="0" w:beforeAutospacing="0" w:after="0" w:afterAutospacing="0"/>
        <w:jc w:val="both"/>
        <w:textAlignment w:val="baseline"/>
        <w:rPr>
          <w:rStyle w:val="eop"/>
          <w:rFonts w:ascii="Calibri" w:hAnsi="Calibri" w:cs="Calibri"/>
          <w:sz w:val="22"/>
          <w:szCs w:val="22"/>
        </w:rPr>
      </w:pPr>
      <w:r w:rsidRPr="1B8FF180">
        <w:rPr>
          <w:rStyle w:val="normaltextrun"/>
          <w:rFonts w:ascii="Arial" w:eastAsia="Arial" w:hAnsi="Arial" w:cs="Arial"/>
          <w:sz w:val="22"/>
          <w:szCs w:val="22"/>
        </w:rPr>
        <w:t>As your travel is exempt from the mandatory self-isolation period, you may proceed to conduct the activities for which you are exempt once you have entered the United Kingdom. However, you </w:t>
      </w:r>
      <w:r w:rsidRPr="1B8FF180">
        <w:rPr>
          <w:rStyle w:val="contextualspellingandgrammarerror"/>
          <w:rFonts w:ascii="Arial" w:eastAsia="Arial" w:hAnsi="Arial" w:cs="Arial"/>
          <w:sz w:val="22"/>
          <w:szCs w:val="22"/>
        </w:rPr>
        <w:t>must </w:t>
      </w:r>
      <w:proofErr w:type="gramStart"/>
      <w:r w:rsidRPr="1B8FF180">
        <w:rPr>
          <w:rStyle w:val="contextualspellingandgrammarerror"/>
          <w:rFonts w:ascii="Arial" w:eastAsia="Arial" w:hAnsi="Arial" w:cs="Arial"/>
          <w:sz w:val="22"/>
          <w:szCs w:val="22"/>
        </w:rPr>
        <w:t>at</w:t>
      </w:r>
      <w:r w:rsidRPr="1B8FF180">
        <w:rPr>
          <w:rStyle w:val="normaltextrun"/>
          <w:rFonts w:ascii="Arial" w:eastAsia="Arial" w:hAnsi="Arial" w:cs="Arial"/>
          <w:sz w:val="22"/>
          <w:szCs w:val="22"/>
        </w:rPr>
        <w:t> all times</w:t>
      </w:r>
      <w:proofErr w:type="gramEnd"/>
      <w:r w:rsidRPr="1B8FF180">
        <w:rPr>
          <w:rStyle w:val="normaltextrun"/>
          <w:rFonts w:ascii="Arial" w:eastAsia="Arial" w:hAnsi="Arial" w:cs="Arial"/>
          <w:sz w:val="22"/>
          <w:szCs w:val="22"/>
        </w:rPr>
        <w:t> follow the relevant guidance from Public Health England, including the Safer Working Guidance applicable to any place of work you attend and the Safer Travel Guidance for any essential journeys. </w:t>
      </w:r>
      <w:r w:rsidRPr="1B8FF180">
        <w:rPr>
          <w:rStyle w:val="eop"/>
          <w:rFonts w:ascii="Arial" w:eastAsia="Arial" w:hAnsi="Arial" w:cs="Arial"/>
          <w:sz w:val="22"/>
          <w:szCs w:val="22"/>
        </w:rPr>
        <w:t> </w:t>
      </w:r>
    </w:p>
    <w:p w14:paraId="565F2EC5" w14:textId="77777777" w:rsidR="004E09D3" w:rsidRDefault="004E09D3" w:rsidP="1B8FF180">
      <w:pPr>
        <w:pStyle w:val="paragraph"/>
        <w:spacing w:before="0" w:beforeAutospacing="0" w:after="0" w:afterAutospacing="0"/>
        <w:jc w:val="both"/>
        <w:textAlignment w:val="baseline"/>
        <w:rPr>
          <w:rFonts w:ascii="Arial" w:eastAsia="Arial" w:hAnsi="Arial" w:cs="Arial"/>
          <w:sz w:val="18"/>
          <w:szCs w:val="18"/>
        </w:rPr>
      </w:pPr>
    </w:p>
    <w:p w14:paraId="25335FA9" w14:textId="77777777" w:rsidR="00C60470" w:rsidRPr="00C60470" w:rsidRDefault="00727418" w:rsidP="00C60470">
      <w:pPr>
        <w:pStyle w:val="paragraph"/>
        <w:spacing w:before="0" w:beforeAutospacing="0" w:after="0" w:afterAutospacing="0"/>
        <w:jc w:val="both"/>
        <w:textAlignment w:val="baseline"/>
        <w:rPr>
          <w:rStyle w:val="eop"/>
          <w:rFonts w:ascii="Calibri" w:hAnsi="Calibri" w:cs="Calibri"/>
          <w:sz w:val="22"/>
          <w:szCs w:val="22"/>
        </w:rPr>
      </w:pPr>
      <w:r w:rsidRPr="1B8FF180">
        <w:rPr>
          <w:rStyle w:val="normaltextrun"/>
          <w:rFonts w:ascii="Arial" w:eastAsia="Arial" w:hAnsi="Arial" w:cs="Arial"/>
          <w:sz w:val="22"/>
          <w:szCs w:val="22"/>
        </w:rPr>
        <w:t>The safer working guidance can be found here: </w:t>
      </w:r>
      <w:hyperlink r:id="rId15">
        <w:r w:rsidRPr="1B8FF180">
          <w:rPr>
            <w:rStyle w:val="normaltextrun"/>
            <w:rFonts w:ascii="Arial" w:eastAsia="Arial" w:hAnsi="Arial" w:cs="Arial"/>
            <w:color w:val="0000FF"/>
            <w:sz w:val="22"/>
            <w:szCs w:val="22"/>
            <w:u w:val="single"/>
          </w:rPr>
          <w:t>https://www.gov.uk/guidance/working-safely-during-coronavirus-covid-19</w:t>
        </w:r>
      </w:hyperlink>
      <w:r w:rsidRPr="1B8FF180">
        <w:rPr>
          <w:rStyle w:val="eop"/>
          <w:rFonts w:ascii="Arial" w:eastAsia="Arial" w:hAnsi="Arial" w:cs="Arial"/>
          <w:sz w:val="22"/>
          <w:szCs w:val="22"/>
        </w:rPr>
        <w:t> </w:t>
      </w:r>
    </w:p>
    <w:p w14:paraId="2BC7A2E5" w14:textId="77777777" w:rsidR="004E09D3" w:rsidRDefault="004E09D3" w:rsidP="1B8FF180">
      <w:pPr>
        <w:pStyle w:val="paragraph"/>
        <w:spacing w:before="0" w:beforeAutospacing="0" w:after="0" w:afterAutospacing="0"/>
        <w:jc w:val="both"/>
        <w:textAlignment w:val="baseline"/>
        <w:rPr>
          <w:rFonts w:ascii="Arial" w:eastAsia="Arial" w:hAnsi="Arial" w:cs="Arial"/>
          <w:sz w:val="18"/>
          <w:szCs w:val="18"/>
        </w:rPr>
      </w:pPr>
    </w:p>
    <w:p w14:paraId="3EE9AA51" w14:textId="77777777" w:rsidR="00C60470" w:rsidRPr="00C60470" w:rsidRDefault="00727418" w:rsidP="00C60470">
      <w:pPr>
        <w:pStyle w:val="paragraph"/>
        <w:spacing w:before="0" w:beforeAutospacing="0" w:after="0" w:afterAutospacing="0"/>
        <w:jc w:val="both"/>
        <w:textAlignment w:val="baseline"/>
        <w:rPr>
          <w:rStyle w:val="eop"/>
          <w:rFonts w:ascii="Calibri" w:hAnsi="Calibri" w:cs="Calibri"/>
          <w:sz w:val="22"/>
          <w:szCs w:val="22"/>
        </w:rPr>
      </w:pPr>
      <w:r w:rsidRPr="1B8FF180">
        <w:rPr>
          <w:rStyle w:val="normaltextrun"/>
          <w:rFonts w:ascii="Arial" w:eastAsia="Arial" w:hAnsi="Arial" w:cs="Arial"/>
          <w:sz w:val="22"/>
          <w:szCs w:val="22"/>
        </w:rPr>
        <w:t>The safer travel guidance can be found here: </w:t>
      </w:r>
      <w:hyperlink r:id="rId16">
        <w:r w:rsidRPr="1B8FF180">
          <w:rPr>
            <w:rStyle w:val="normaltextrun"/>
            <w:rFonts w:ascii="Arial" w:eastAsia="Arial" w:hAnsi="Arial" w:cs="Arial"/>
            <w:color w:val="0000FF"/>
            <w:sz w:val="22"/>
            <w:szCs w:val="22"/>
            <w:u w:val="single"/>
          </w:rPr>
          <w:t>https://www.gov.uk/guidance/coronavirus-covid-19-safer-travel-guidance-for-passengers</w:t>
        </w:r>
      </w:hyperlink>
      <w:r w:rsidRPr="1B8FF180">
        <w:rPr>
          <w:rStyle w:val="eop"/>
          <w:rFonts w:ascii="Arial" w:eastAsia="Arial" w:hAnsi="Arial" w:cs="Arial"/>
          <w:sz w:val="22"/>
          <w:szCs w:val="22"/>
        </w:rPr>
        <w:t> </w:t>
      </w:r>
    </w:p>
    <w:p w14:paraId="184A5F5A" w14:textId="77777777" w:rsidR="004E09D3" w:rsidRDefault="004E09D3" w:rsidP="1B8FF180">
      <w:pPr>
        <w:pStyle w:val="paragraph"/>
        <w:spacing w:before="0" w:beforeAutospacing="0" w:after="0" w:afterAutospacing="0"/>
        <w:jc w:val="both"/>
        <w:textAlignment w:val="baseline"/>
        <w:rPr>
          <w:rFonts w:ascii="Arial" w:eastAsia="Arial" w:hAnsi="Arial" w:cs="Arial"/>
          <w:sz w:val="18"/>
          <w:szCs w:val="18"/>
        </w:rPr>
      </w:pPr>
    </w:p>
    <w:p w14:paraId="2537A9B0" w14:textId="46C81C38" w:rsidR="00727418" w:rsidRDefault="00727418" w:rsidP="00727418">
      <w:pPr>
        <w:pStyle w:val="paragraph"/>
        <w:spacing w:before="0" w:beforeAutospacing="0" w:after="0" w:afterAutospacing="0"/>
        <w:jc w:val="both"/>
        <w:textAlignment w:val="baseline"/>
        <w:rPr>
          <w:rFonts w:ascii="Arial" w:eastAsia="Arial" w:hAnsi="Arial" w:cs="Arial"/>
          <w:sz w:val="18"/>
          <w:szCs w:val="18"/>
        </w:rPr>
      </w:pPr>
      <w:r w:rsidRPr="1B8FF180">
        <w:rPr>
          <w:rStyle w:val="normaltextrun"/>
          <w:rFonts w:ascii="Arial" w:eastAsia="Arial" w:hAnsi="Arial" w:cs="Arial"/>
          <w:sz w:val="22"/>
          <w:szCs w:val="22"/>
        </w:rPr>
        <w:t>Enquiries regarding the provision of this exemption can be directed to</w:t>
      </w:r>
      <w:r w:rsidR="005A2D92" w:rsidRPr="1B8FF180">
        <w:rPr>
          <w:rStyle w:val="normaltextrun"/>
          <w:rFonts w:ascii="Arial" w:eastAsia="Arial" w:hAnsi="Arial" w:cs="Arial"/>
          <w:sz w:val="22"/>
          <w:szCs w:val="22"/>
        </w:rPr>
        <w:t xml:space="preserve"> </w:t>
      </w:r>
      <w:r w:rsidRPr="1B8FF180">
        <w:rPr>
          <w:rStyle w:val="normaltextrun"/>
          <w:rFonts w:ascii="Arial" w:eastAsia="Arial" w:hAnsi="Arial" w:cs="Arial"/>
          <w:sz w:val="22"/>
          <w:szCs w:val="22"/>
        </w:rPr>
        <w:t>[</w:t>
      </w:r>
      <w:r w:rsidRPr="1B8FF180">
        <w:rPr>
          <w:rStyle w:val="normaltextrun"/>
          <w:rFonts w:ascii="Arial" w:eastAsia="Arial" w:hAnsi="Arial" w:cs="Arial"/>
          <w:i/>
          <w:sz w:val="22"/>
          <w:szCs w:val="22"/>
        </w:rPr>
        <w:t>company</w:t>
      </w:r>
      <w:r w:rsidR="00CA3CB2" w:rsidRPr="1B8FF180">
        <w:rPr>
          <w:rStyle w:val="normaltextrun"/>
          <w:rFonts w:ascii="Arial" w:eastAsia="Arial" w:hAnsi="Arial" w:cs="Arial"/>
          <w:i/>
          <w:iCs/>
          <w:sz w:val="22"/>
          <w:szCs w:val="22"/>
        </w:rPr>
        <w:t xml:space="preserve"> </w:t>
      </w:r>
      <w:r w:rsidRPr="1B8FF180">
        <w:rPr>
          <w:rStyle w:val="normaltextrun"/>
          <w:rFonts w:ascii="Arial" w:eastAsia="Arial" w:hAnsi="Arial" w:cs="Arial"/>
          <w:i/>
          <w:sz w:val="22"/>
          <w:szCs w:val="22"/>
        </w:rPr>
        <w:t>contact</w:t>
      </w:r>
      <w:r w:rsidR="00CA3CB2" w:rsidRPr="1B8FF180">
        <w:rPr>
          <w:rStyle w:val="normaltextrun"/>
          <w:rFonts w:ascii="Arial" w:eastAsia="Arial" w:hAnsi="Arial" w:cs="Arial"/>
          <w:i/>
          <w:iCs/>
          <w:sz w:val="22"/>
          <w:szCs w:val="22"/>
        </w:rPr>
        <w:t xml:space="preserve"> </w:t>
      </w:r>
      <w:r w:rsidRPr="1B8FF180">
        <w:rPr>
          <w:rStyle w:val="normaltextrun"/>
          <w:rFonts w:ascii="Arial" w:eastAsia="Arial" w:hAnsi="Arial" w:cs="Arial"/>
          <w:i/>
          <w:sz w:val="22"/>
          <w:szCs w:val="22"/>
        </w:rPr>
        <w:t>for</w:t>
      </w:r>
      <w:r w:rsidR="00CA3CB2" w:rsidRPr="1B8FF180">
        <w:rPr>
          <w:rStyle w:val="normaltextrun"/>
          <w:rFonts w:ascii="Arial" w:eastAsia="Arial" w:hAnsi="Arial" w:cs="Arial"/>
          <w:i/>
          <w:iCs/>
          <w:sz w:val="22"/>
          <w:szCs w:val="22"/>
        </w:rPr>
        <w:t xml:space="preserve"> </w:t>
      </w:r>
      <w:r w:rsidRPr="1B8FF180">
        <w:rPr>
          <w:rStyle w:val="normaltextrun"/>
          <w:rFonts w:ascii="Arial" w:eastAsia="Arial" w:hAnsi="Arial" w:cs="Arial"/>
          <w:i/>
          <w:sz w:val="22"/>
          <w:szCs w:val="22"/>
        </w:rPr>
        <w:t>exemptions</w:t>
      </w:r>
      <w:r w:rsidRPr="1B8FF180">
        <w:rPr>
          <w:rStyle w:val="normaltextrun"/>
          <w:rFonts w:ascii="Arial" w:eastAsia="Arial" w:hAnsi="Arial" w:cs="Arial"/>
          <w:sz w:val="22"/>
          <w:szCs w:val="22"/>
        </w:rPr>
        <w:t>]</w:t>
      </w:r>
      <w:r w:rsidR="00CA3CB2" w:rsidRPr="1B8FF180">
        <w:rPr>
          <w:rStyle w:val="normaltextrun"/>
          <w:rFonts w:ascii="Arial" w:eastAsia="Arial" w:hAnsi="Arial" w:cs="Arial"/>
          <w:sz w:val="22"/>
          <w:szCs w:val="22"/>
        </w:rPr>
        <w:t xml:space="preserve"> </w:t>
      </w:r>
      <w:r w:rsidRPr="1B8FF180">
        <w:rPr>
          <w:rStyle w:val="normaltextrun"/>
          <w:rFonts w:ascii="Arial" w:eastAsia="Arial" w:hAnsi="Arial" w:cs="Arial"/>
          <w:sz w:val="22"/>
          <w:szCs w:val="22"/>
        </w:rPr>
        <w:t>at [</w:t>
      </w:r>
      <w:r w:rsidRPr="1B8FF180">
        <w:rPr>
          <w:rStyle w:val="normaltextrun"/>
          <w:rFonts w:ascii="Arial" w:eastAsia="Arial" w:hAnsi="Arial" w:cs="Arial"/>
          <w:i/>
          <w:sz w:val="22"/>
          <w:szCs w:val="22"/>
        </w:rPr>
        <w:t xml:space="preserve">provide contact details for </w:t>
      </w:r>
      <w:r w:rsidR="00160580">
        <w:rPr>
          <w:rStyle w:val="normaltextrun"/>
          <w:rFonts w:ascii="Arial" w:eastAsia="Arial" w:hAnsi="Arial" w:cs="Arial"/>
          <w:i/>
          <w:sz w:val="22"/>
          <w:szCs w:val="22"/>
        </w:rPr>
        <w:t>company</w:t>
      </w:r>
      <w:r w:rsidRPr="1B8FF180">
        <w:rPr>
          <w:rStyle w:val="normaltextrun"/>
          <w:rFonts w:ascii="Arial" w:eastAsia="Arial" w:hAnsi="Arial" w:cs="Arial"/>
          <w:sz w:val="22"/>
          <w:szCs w:val="22"/>
        </w:rPr>
        <w:t>].</w:t>
      </w:r>
      <w:r w:rsidRPr="1B8FF180">
        <w:rPr>
          <w:rStyle w:val="eop"/>
          <w:rFonts w:ascii="Arial" w:eastAsia="Arial" w:hAnsi="Arial" w:cs="Arial"/>
          <w:sz w:val="22"/>
          <w:szCs w:val="22"/>
        </w:rPr>
        <w:t> </w:t>
      </w:r>
    </w:p>
    <w:p w14:paraId="63758A9E" w14:textId="77777777" w:rsidR="00727418" w:rsidRDefault="00727418" w:rsidP="00727418">
      <w:pPr>
        <w:pStyle w:val="paragraph"/>
        <w:spacing w:before="0" w:beforeAutospacing="0" w:after="0" w:afterAutospacing="0"/>
        <w:textAlignment w:val="baseline"/>
        <w:rPr>
          <w:rFonts w:ascii="Arial" w:eastAsia="Arial" w:hAnsi="Arial" w:cs="Arial"/>
          <w:sz w:val="18"/>
          <w:szCs w:val="18"/>
        </w:rPr>
      </w:pPr>
      <w:r w:rsidRPr="1B8FF180">
        <w:rPr>
          <w:rStyle w:val="eop"/>
          <w:rFonts w:ascii="Arial" w:eastAsia="Arial" w:hAnsi="Arial" w:cs="Arial"/>
          <w:sz w:val="22"/>
          <w:szCs w:val="22"/>
        </w:rPr>
        <w:t> </w:t>
      </w:r>
    </w:p>
    <w:p w14:paraId="2F53CCC1" w14:textId="77777777" w:rsidR="00C60470" w:rsidRPr="00C60470" w:rsidRDefault="00727418" w:rsidP="00C60470">
      <w:pPr>
        <w:pStyle w:val="paragraph"/>
        <w:spacing w:before="0" w:beforeAutospacing="0" w:after="0" w:afterAutospacing="0"/>
        <w:textAlignment w:val="baseline"/>
        <w:rPr>
          <w:rStyle w:val="eop"/>
          <w:rFonts w:ascii="Calibri" w:hAnsi="Calibri" w:cs="Calibri"/>
          <w:sz w:val="22"/>
          <w:szCs w:val="22"/>
        </w:rPr>
      </w:pPr>
      <w:r w:rsidRPr="1B8FF180">
        <w:rPr>
          <w:rStyle w:val="normaltextrun"/>
          <w:rFonts w:ascii="Arial" w:eastAsia="Arial" w:hAnsi="Arial" w:cs="Arial"/>
          <w:sz w:val="22"/>
          <w:szCs w:val="22"/>
        </w:rPr>
        <w:t>Yours sincerely,</w:t>
      </w:r>
      <w:r w:rsidRPr="1B8FF180">
        <w:rPr>
          <w:rStyle w:val="eop"/>
          <w:rFonts w:ascii="Arial" w:eastAsia="Arial" w:hAnsi="Arial" w:cs="Arial"/>
          <w:sz w:val="22"/>
          <w:szCs w:val="22"/>
        </w:rPr>
        <w:t> </w:t>
      </w:r>
    </w:p>
    <w:p w14:paraId="53B796E3" w14:textId="77777777" w:rsidR="00CA3CB2" w:rsidRDefault="00CA3CB2" w:rsidP="1B8FF180">
      <w:pPr>
        <w:pStyle w:val="paragraph"/>
        <w:spacing w:before="0" w:beforeAutospacing="0" w:after="0" w:afterAutospacing="0"/>
        <w:textAlignment w:val="baseline"/>
        <w:rPr>
          <w:rFonts w:ascii="Arial" w:eastAsia="Arial" w:hAnsi="Arial" w:cs="Arial"/>
          <w:sz w:val="18"/>
          <w:szCs w:val="18"/>
        </w:rPr>
      </w:pPr>
    </w:p>
    <w:p w14:paraId="3CE2DD88" w14:textId="77777777" w:rsidR="00727418" w:rsidRDefault="00727418" w:rsidP="00727418">
      <w:pPr>
        <w:pStyle w:val="paragraph"/>
        <w:spacing w:before="0" w:beforeAutospacing="0" w:after="0" w:afterAutospacing="0"/>
        <w:textAlignment w:val="baseline"/>
        <w:rPr>
          <w:rFonts w:ascii="Arial" w:eastAsia="Arial" w:hAnsi="Arial" w:cs="Arial"/>
          <w:sz w:val="18"/>
          <w:szCs w:val="18"/>
        </w:rPr>
      </w:pPr>
      <w:r w:rsidRPr="1B8FF180">
        <w:rPr>
          <w:rStyle w:val="normaltextrun"/>
          <w:rFonts w:ascii="Arial" w:eastAsia="Arial" w:hAnsi="Arial" w:cs="Arial"/>
          <w:i/>
          <w:sz w:val="22"/>
          <w:szCs w:val="22"/>
        </w:rPr>
        <w:t>Named company contact</w:t>
      </w:r>
      <w:r w:rsidRPr="1B8FF180">
        <w:rPr>
          <w:rStyle w:val="eop"/>
          <w:rFonts w:ascii="Arial" w:eastAsia="Arial" w:hAnsi="Arial" w:cs="Arial"/>
          <w:sz w:val="22"/>
          <w:szCs w:val="22"/>
        </w:rPr>
        <w:t> </w:t>
      </w:r>
    </w:p>
    <w:p w14:paraId="1A606C60" w14:textId="77777777" w:rsidR="00727418" w:rsidRDefault="00727418">
      <w:pPr>
        <w:spacing w:after="160" w:line="259" w:lineRule="auto"/>
        <w:rPr>
          <w:rFonts w:eastAsia="Calibri" w:cs="Arial"/>
          <w:u w:val="single"/>
        </w:rPr>
      </w:pPr>
      <w:r>
        <w:rPr>
          <w:rFonts w:eastAsia="Calibri" w:cs="Arial"/>
          <w:u w:val="single"/>
        </w:rPr>
        <w:br w:type="page"/>
      </w:r>
    </w:p>
    <w:p w14:paraId="751F8DD4" w14:textId="6FAEE78E" w:rsidR="00D66ED6" w:rsidRPr="004B2382" w:rsidRDefault="00D66ED6" w:rsidP="00D66ED6">
      <w:pPr>
        <w:rPr>
          <w:rFonts w:eastAsia="Calibri" w:cs="Arial"/>
          <w:u w:val="single"/>
        </w:rPr>
      </w:pPr>
      <w:r w:rsidRPr="004B2382">
        <w:rPr>
          <w:rFonts w:eastAsia="Calibri" w:cs="Arial"/>
          <w:u w:val="single"/>
        </w:rPr>
        <w:lastRenderedPageBreak/>
        <w:t xml:space="preserve">Annexe </w:t>
      </w:r>
      <w:r w:rsidR="00B4288C">
        <w:rPr>
          <w:rFonts w:eastAsia="Calibri" w:cs="Arial"/>
          <w:u w:val="single"/>
        </w:rPr>
        <w:t>B</w:t>
      </w:r>
    </w:p>
    <w:p w14:paraId="150A9FCB" w14:textId="4CD4D0D0" w:rsidR="65C70E7B" w:rsidRDefault="65C70E7B" w:rsidP="65C70E7B">
      <w:pPr>
        <w:rPr>
          <w:rFonts w:eastAsia="Calibri" w:cs="Arial"/>
          <w:u w:val="single"/>
        </w:rPr>
      </w:pPr>
    </w:p>
    <w:p w14:paraId="2A9CFC80" w14:textId="7264E7EB" w:rsidR="00EE70D6" w:rsidRPr="00EE70D6" w:rsidRDefault="00EE70D6" w:rsidP="00EE70D6">
      <w:pPr>
        <w:pStyle w:val="N1"/>
        <w:numPr>
          <w:ilvl w:val="0"/>
          <w:numId w:val="7"/>
        </w:numPr>
        <w:tabs>
          <w:tab w:val="num" w:pos="360"/>
        </w:tabs>
      </w:pPr>
      <w:r w:rsidRPr="00EE70D6">
        <w:t>—</w:t>
      </w:r>
      <w:r w:rsidRPr="00EE70D6">
        <w:fldChar w:fldCharType="begin"/>
      </w:r>
      <w:r w:rsidRPr="00EE70D6">
        <w:instrText xml:space="preserve"> LISTNUM "SEQ1" \l 2 </w:instrText>
      </w:r>
      <w:r w:rsidRPr="00EE70D6">
        <w:fldChar w:fldCharType="end"/>
      </w:r>
      <w:r w:rsidRPr="00EE70D6">
        <w:t> A road haulage worker or a road passenger transport worker.</w:t>
      </w:r>
    </w:p>
    <w:p w14:paraId="638F82E1" w14:textId="77777777" w:rsidR="00EE70D6" w:rsidRPr="00EE70D6" w:rsidRDefault="00EE70D6" w:rsidP="00EE70D6">
      <w:pPr>
        <w:numPr>
          <w:ilvl w:val="1"/>
          <w:numId w:val="6"/>
        </w:numPr>
        <w:tabs>
          <w:tab w:val="num" w:pos="720"/>
        </w:tabs>
        <w:spacing w:before="80" w:line="220" w:lineRule="atLeast"/>
        <w:jc w:val="both"/>
        <w:rPr>
          <w:rFonts w:ascii="Times New Roman" w:hAnsi="Times New Roman"/>
          <w:sz w:val="21"/>
          <w:szCs w:val="20"/>
          <w:lang w:eastAsia="en-US"/>
        </w:rPr>
      </w:pPr>
      <w:r w:rsidRPr="00EE70D6">
        <w:rPr>
          <w:rFonts w:ascii="Times New Roman" w:hAnsi="Times New Roman"/>
          <w:sz w:val="21"/>
          <w:szCs w:val="20"/>
          <w:lang w:eastAsia="en-US"/>
        </w:rPr>
        <w:t>For the purposes of this paragraph—</w:t>
      </w:r>
    </w:p>
    <w:p w14:paraId="139CDD6A" w14:textId="77777777" w:rsidR="00EE70D6" w:rsidRPr="00EE70D6" w:rsidRDefault="00EE70D6" w:rsidP="00EE70D6">
      <w:pPr>
        <w:numPr>
          <w:ilvl w:val="2"/>
          <w:numId w:val="6"/>
        </w:numPr>
        <w:spacing w:before="80" w:line="220" w:lineRule="atLeast"/>
        <w:jc w:val="both"/>
        <w:rPr>
          <w:rFonts w:ascii="Times New Roman" w:hAnsi="Times New Roman"/>
          <w:sz w:val="21"/>
          <w:szCs w:val="20"/>
          <w:lang w:eastAsia="en-US"/>
        </w:rPr>
      </w:pPr>
      <w:r w:rsidRPr="00EE70D6">
        <w:rPr>
          <w:rFonts w:ascii="Times New Roman" w:hAnsi="Times New Roman"/>
          <w:sz w:val="21"/>
          <w:szCs w:val="20"/>
          <w:lang w:eastAsia="en-US"/>
        </w:rPr>
        <w:t>“driver” includes a person who is travelling in a vehicle as a relief driver,</w:t>
      </w:r>
    </w:p>
    <w:p w14:paraId="03E6DFA9" w14:textId="77777777" w:rsidR="00EE70D6" w:rsidRPr="00EE70D6" w:rsidRDefault="00EE70D6" w:rsidP="00EE70D6">
      <w:pPr>
        <w:numPr>
          <w:ilvl w:val="2"/>
          <w:numId w:val="6"/>
        </w:numPr>
        <w:spacing w:before="80" w:line="220" w:lineRule="atLeast"/>
        <w:jc w:val="both"/>
        <w:rPr>
          <w:rFonts w:ascii="Times New Roman" w:hAnsi="Times New Roman"/>
          <w:sz w:val="21"/>
          <w:szCs w:val="20"/>
          <w:lang w:eastAsia="en-US"/>
        </w:rPr>
      </w:pPr>
      <w:r w:rsidRPr="00EE70D6">
        <w:rPr>
          <w:rFonts w:ascii="Times New Roman" w:hAnsi="Times New Roman"/>
          <w:sz w:val="21"/>
          <w:szCs w:val="20"/>
          <w:lang w:eastAsia="en-US"/>
        </w:rPr>
        <w:t>“goods vehicle” has the meaning given in section 192 of the Road Traffic Act 1988(</w:t>
      </w:r>
      <w:r w:rsidRPr="00EE70D6">
        <w:rPr>
          <w:rFonts w:ascii="Times New Roman" w:hAnsi="Times New Roman"/>
          <w:b/>
          <w:sz w:val="21"/>
          <w:szCs w:val="20"/>
          <w:lang w:eastAsia="en-US"/>
        </w:rPr>
        <w:footnoteReference w:id="2"/>
      </w:r>
      <w:r w:rsidRPr="00EE70D6">
        <w:rPr>
          <w:rFonts w:ascii="Times New Roman" w:hAnsi="Times New Roman"/>
          <w:sz w:val="21"/>
          <w:szCs w:val="20"/>
          <w:lang w:eastAsia="en-US"/>
        </w:rPr>
        <w:t>),</w:t>
      </w:r>
    </w:p>
    <w:p w14:paraId="4B1F1A0E" w14:textId="77777777" w:rsidR="00EE70D6" w:rsidRPr="00EE70D6" w:rsidRDefault="00EE70D6" w:rsidP="00EE70D6">
      <w:pPr>
        <w:numPr>
          <w:ilvl w:val="2"/>
          <w:numId w:val="6"/>
        </w:numPr>
        <w:spacing w:before="80" w:line="220" w:lineRule="atLeast"/>
        <w:jc w:val="both"/>
        <w:rPr>
          <w:rFonts w:ascii="Times New Roman" w:hAnsi="Times New Roman"/>
          <w:sz w:val="21"/>
          <w:szCs w:val="20"/>
          <w:lang w:eastAsia="en-US"/>
        </w:rPr>
      </w:pPr>
      <w:r w:rsidRPr="00EE70D6">
        <w:rPr>
          <w:rFonts w:ascii="Times New Roman" w:hAnsi="Times New Roman"/>
          <w:sz w:val="21"/>
          <w:szCs w:val="20"/>
          <w:lang w:eastAsia="en-US"/>
        </w:rPr>
        <w:t>“road haulage worker” means—</w:t>
      </w:r>
    </w:p>
    <w:p w14:paraId="033765C1" w14:textId="77777777" w:rsidR="00EE70D6" w:rsidRPr="00EE70D6" w:rsidRDefault="00EE70D6" w:rsidP="00EE70D6">
      <w:pPr>
        <w:numPr>
          <w:ilvl w:val="3"/>
          <w:numId w:val="6"/>
        </w:numPr>
        <w:spacing w:before="80" w:line="220" w:lineRule="atLeast"/>
        <w:jc w:val="both"/>
        <w:rPr>
          <w:rFonts w:ascii="Times New Roman" w:hAnsi="Times New Roman"/>
          <w:sz w:val="21"/>
          <w:szCs w:val="20"/>
          <w:lang w:eastAsia="en-US"/>
        </w:rPr>
      </w:pPr>
      <w:r w:rsidRPr="00EE70D6">
        <w:rPr>
          <w:rFonts w:ascii="Times New Roman" w:hAnsi="Times New Roman"/>
          <w:sz w:val="21"/>
          <w:szCs w:val="20"/>
          <w:lang w:eastAsia="en-US"/>
        </w:rPr>
        <w:t>the driver of a goods vehicle that is being used in connection with the carriage of goods, other than goods for non-commercial personal use by the driver, or</w:t>
      </w:r>
    </w:p>
    <w:p w14:paraId="7F474858" w14:textId="77777777" w:rsidR="00EE70D6" w:rsidRPr="00EE70D6" w:rsidRDefault="00EE70D6" w:rsidP="00EE70D6">
      <w:pPr>
        <w:numPr>
          <w:ilvl w:val="3"/>
          <w:numId w:val="6"/>
        </w:numPr>
        <w:spacing w:before="80" w:line="220" w:lineRule="atLeast"/>
        <w:jc w:val="both"/>
        <w:rPr>
          <w:rFonts w:ascii="Times New Roman" w:hAnsi="Times New Roman"/>
          <w:sz w:val="21"/>
          <w:szCs w:val="20"/>
          <w:lang w:eastAsia="en-US"/>
        </w:rPr>
      </w:pPr>
      <w:r w:rsidRPr="00EE70D6">
        <w:rPr>
          <w:rFonts w:ascii="Times New Roman" w:hAnsi="Times New Roman"/>
          <w:sz w:val="21"/>
          <w:szCs w:val="20"/>
          <w:lang w:eastAsia="en-US"/>
        </w:rPr>
        <w:t xml:space="preserve">a person who is employed by the holder of a Community licence issued under Article 4 of Regulation (EC) No 1072/2009 of the European Parliament and of the </w:t>
      </w:r>
      <w:proofErr w:type="gramStart"/>
      <w:r w:rsidRPr="00EE70D6">
        <w:rPr>
          <w:rFonts w:ascii="Times New Roman" w:hAnsi="Times New Roman"/>
          <w:sz w:val="21"/>
          <w:szCs w:val="20"/>
          <w:lang w:eastAsia="en-US"/>
        </w:rPr>
        <w:t>Council(</w:t>
      </w:r>
      <w:proofErr w:type="gramEnd"/>
      <w:r w:rsidRPr="00EE70D6">
        <w:rPr>
          <w:rFonts w:ascii="Times New Roman" w:hAnsi="Times New Roman"/>
          <w:b/>
          <w:sz w:val="21"/>
          <w:szCs w:val="20"/>
          <w:lang w:eastAsia="en-US"/>
        </w:rPr>
        <w:footnoteReference w:id="3"/>
      </w:r>
      <w:r w:rsidRPr="00EE70D6">
        <w:rPr>
          <w:rFonts w:ascii="Times New Roman" w:hAnsi="Times New Roman"/>
          <w:sz w:val="21"/>
          <w:szCs w:val="20"/>
          <w:lang w:eastAsia="en-US"/>
        </w:rPr>
        <w:t>), and who is acting in the course of their employment,</w:t>
      </w:r>
    </w:p>
    <w:p w14:paraId="6CAF50C1" w14:textId="77777777" w:rsidR="00EE70D6" w:rsidRPr="00EE70D6" w:rsidRDefault="00EE70D6" w:rsidP="00EE70D6">
      <w:pPr>
        <w:numPr>
          <w:ilvl w:val="2"/>
          <w:numId w:val="6"/>
        </w:numPr>
        <w:spacing w:before="80" w:line="220" w:lineRule="atLeast"/>
        <w:jc w:val="both"/>
        <w:rPr>
          <w:rFonts w:ascii="Times New Roman" w:hAnsi="Times New Roman"/>
          <w:sz w:val="21"/>
          <w:szCs w:val="20"/>
          <w:lang w:eastAsia="en-US"/>
        </w:rPr>
      </w:pPr>
      <w:r w:rsidRPr="00EE70D6">
        <w:rPr>
          <w:rFonts w:ascii="Times New Roman" w:hAnsi="Times New Roman"/>
          <w:sz w:val="21"/>
          <w:szCs w:val="20"/>
          <w:lang w:eastAsia="en-US"/>
        </w:rPr>
        <w:t>“public service vehicle” has the meaning given in section 1 of the Public Passenger Vehicles Act 1981(</w:t>
      </w:r>
      <w:r w:rsidRPr="00EE70D6">
        <w:rPr>
          <w:rFonts w:ascii="Times New Roman" w:hAnsi="Times New Roman"/>
          <w:b/>
          <w:sz w:val="21"/>
          <w:szCs w:val="20"/>
          <w:lang w:eastAsia="en-US"/>
        </w:rPr>
        <w:footnoteReference w:id="4"/>
      </w:r>
      <w:r w:rsidRPr="00EE70D6">
        <w:rPr>
          <w:rFonts w:ascii="Times New Roman" w:hAnsi="Times New Roman"/>
          <w:sz w:val="21"/>
          <w:szCs w:val="20"/>
          <w:lang w:eastAsia="en-US"/>
        </w:rPr>
        <w:t>),</w:t>
      </w:r>
    </w:p>
    <w:p w14:paraId="1CB9E58A" w14:textId="77777777" w:rsidR="00EE70D6" w:rsidRPr="00EE70D6" w:rsidRDefault="00EE70D6" w:rsidP="00EE70D6">
      <w:pPr>
        <w:numPr>
          <w:ilvl w:val="2"/>
          <w:numId w:val="6"/>
        </w:numPr>
        <w:spacing w:before="80" w:line="220" w:lineRule="atLeast"/>
        <w:jc w:val="both"/>
        <w:rPr>
          <w:rFonts w:ascii="Times New Roman" w:hAnsi="Times New Roman"/>
          <w:sz w:val="21"/>
          <w:szCs w:val="20"/>
          <w:lang w:eastAsia="en-US"/>
        </w:rPr>
      </w:pPr>
      <w:r w:rsidRPr="00EE70D6">
        <w:rPr>
          <w:rFonts w:ascii="Times New Roman" w:hAnsi="Times New Roman"/>
          <w:sz w:val="21"/>
          <w:szCs w:val="20"/>
          <w:lang w:eastAsia="en-US"/>
        </w:rPr>
        <w:t>“road passenger transport worker” means—</w:t>
      </w:r>
    </w:p>
    <w:p w14:paraId="22A7A87D" w14:textId="77777777" w:rsidR="00EE70D6" w:rsidRPr="00EE70D6" w:rsidRDefault="00EE70D6" w:rsidP="00EE70D6">
      <w:pPr>
        <w:numPr>
          <w:ilvl w:val="3"/>
          <w:numId w:val="6"/>
        </w:numPr>
        <w:spacing w:before="80" w:line="220" w:lineRule="atLeast"/>
        <w:jc w:val="both"/>
        <w:rPr>
          <w:rFonts w:ascii="Times New Roman" w:hAnsi="Times New Roman"/>
          <w:sz w:val="21"/>
          <w:szCs w:val="20"/>
          <w:lang w:eastAsia="en-US"/>
        </w:rPr>
      </w:pPr>
      <w:r w:rsidRPr="00EE70D6">
        <w:rPr>
          <w:rFonts w:ascii="Times New Roman" w:hAnsi="Times New Roman"/>
          <w:sz w:val="21"/>
          <w:szCs w:val="20"/>
          <w:lang w:eastAsia="en-US"/>
        </w:rPr>
        <w:t>the driver of a public service vehicle, or</w:t>
      </w:r>
    </w:p>
    <w:p w14:paraId="14F79695" w14:textId="77777777" w:rsidR="00EE70D6" w:rsidRPr="00EE70D6" w:rsidRDefault="00EE70D6" w:rsidP="00EE70D6">
      <w:pPr>
        <w:numPr>
          <w:ilvl w:val="3"/>
          <w:numId w:val="6"/>
        </w:numPr>
        <w:spacing w:before="80" w:line="220" w:lineRule="atLeast"/>
        <w:jc w:val="both"/>
        <w:rPr>
          <w:rFonts w:ascii="Times New Roman" w:hAnsi="Times New Roman"/>
          <w:sz w:val="21"/>
          <w:szCs w:val="20"/>
          <w:lang w:eastAsia="en-US"/>
        </w:rPr>
      </w:pPr>
      <w:r w:rsidRPr="00EE70D6">
        <w:rPr>
          <w:rFonts w:ascii="Times New Roman" w:hAnsi="Times New Roman"/>
          <w:sz w:val="21"/>
          <w:szCs w:val="20"/>
          <w:lang w:eastAsia="en-US"/>
        </w:rPr>
        <w:t>a person who is employed by the holder of a Community licence issued under Article 4 of Regulation (EC) No 1073/2009(</w:t>
      </w:r>
      <w:r w:rsidRPr="00EE70D6">
        <w:rPr>
          <w:rFonts w:ascii="Times New Roman" w:hAnsi="Times New Roman"/>
          <w:b/>
          <w:sz w:val="21"/>
          <w:szCs w:val="20"/>
          <w:lang w:eastAsia="en-US"/>
        </w:rPr>
        <w:footnoteReference w:id="5"/>
      </w:r>
      <w:r w:rsidRPr="00EE70D6">
        <w:rPr>
          <w:rFonts w:ascii="Times New Roman" w:hAnsi="Times New Roman"/>
          <w:sz w:val="21"/>
          <w:szCs w:val="20"/>
          <w:lang w:eastAsia="en-US"/>
        </w:rPr>
        <w:t>) of the European Parliament and of the Council, and who is acting in the course of their employment.</w:t>
      </w:r>
    </w:p>
    <w:p w14:paraId="1B5BA2AB" w14:textId="70E977FD" w:rsidR="00271F52" w:rsidRDefault="00271F52" w:rsidP="65C70E7B">
      <w:pPr>
        <w:rPr>
          <w:rFonts w:eastAsia="Calibri" w:cs="Arial"/>
          <w:u w:val="single"/>
        </w:rPr>
      </w:pPr>
    </w:p>
    <w:p w14:paraId="3664A39A" w14:textId="405F452E" w:rsidR="00AC0BDE" w:rsidRDefault="00AC0BDE" w:rsidP="00AC0BDE">
      <w:pPr>
        <w:pStyle w:val="N1"/>
        <w:numPr>
          <w:ilvl w:val="0"/>
          <w:numId w:val="8"/>
        </w:numPr>
      </w:pPr>
      <w:r>
        <w:t>—</w:t>
      </w:r>
      <w:r>
        <w:fldChar w:fldCharType="begin"/>
      </w:r>
      <w:r>
        <w:instrText xml:space="preserve"> LISTNUM "SEQ1" \l 2 </w:instrText>
      </w:r>
      <w:r>
        <w:fldChar w:fldCharType="end"/>
      </w:r>
      <w:r>
        <w:t> A Crown servant or government contractor who is—</w:t>
      </w:r>
    </w:p>
    <w:p w14:paraId="4DE50D8E" w14:textId="77777777" w:rsidR="00AC0BDE" w:rsidRDefault="00AC0BDE" w:rsidP="00AC0BDE">
      <w:pPr>
        <w:pStyle w:val="N3"/>
        <w:numPr>
          <w:ilvl w:val="2"/>
          <w:numId w:val="4"/>
        </w:numPr>
      </w:pPr>
      <w:r>
        <w:t>required to undertake essential policing or essential government work in the United Kingdom within 14 days of their arrival,</w:t>
      </w:r>
    </w:p>
    <w:p w14:paraId="6745ECC8" w14:textId="77777777" w:rsidR="00AC0BDE" w:rsidRDefault="00AC0BDE" w:rsidP="00AC0BDE">
      <w:pPr>
        <w:pStyle w:val="N3"/>
        <w:numPr>
          <w:ilvl w:val="2"/>
          <w:numId w:val="4"/>
        </w:numPr>
      </w:pPr>
      <w:r>
        <w:t>undertaking essential policing or essential government work outside of the United Kingdom but—</w:t>
      </w:r>
    </w:p>
    <w:p w14:paraId="00999997" w14:textId="77777777" w:rsidR="00AC0BDE" w:rsidRDefault="00AC0BDE" w:rsidP="00AC0BDE">
      <w:pPr>
        <w:pStyle w:val="N4"/>
        <w:numPr>
          <w:ilvl w:val="3"/>
          <w:numId w:val="4"/>
        </w:numPr>
      </w:pPr>
      <w:r>
        <w:t>is required to return to the United Kingdom temporarily,</w:t>
      </w:r>
    </w:p>
    <w:p w14:paraId="1FA5DCAC" w14:textId="77777777" w:rsidR="00AC0BDE" w:rsidRDefault="00AC0BDE" w:rsidP="00AC0BDE">
      <w:pPr>
        <w:pStyle w:val="N4"/>
        <w:numPr>
          <w:ilvl w:val="3"/>
          <w:numId w:val="4"/>
        </w:numPr>
      </w:pPr>
      <w:r>
        <w:t>will thereafter depart to undertake essential policing or essential government work outside of the United Kingdom, or</w:t>
      </w:r>
    </w:p>
    <w:p w14:paraId="390F6969" w14:textId="77777777" w:rsidR="00AC0BDE" w:rsidRDefault="00AC0BDE" w:rsidP="00AC0BDE">
      <w:pPr>
        <w:pStyle w:val="N3"/>
        <w:numPr>
          <w:ilvl w:val="2"/>
          <w:numId w:val="4"/>
        </w:numPr>
      </w:pPr>
      <w:r>
        <w:t xml:space="preserve">who is conducting bi-lateral or multilateral discussions with another state or international </w:t>
      </w:r>
      <w:proofErr w:type="gramStart"/>
      <w:r>
        <w:t>organisation.</w:t>
      </w:r>
      <w:proofErr w:type="gramEnd"/>
    </w:p>
    <w:p w14:paraId="1F4BA598" w14:textId="77777777" w:rsidR="00AC0BDE" w:rsidRDefault="00AC0BDE" w:rsidP="00AC0BDE">
      <w:pPr>
        <w:pStyle w:val="N2"/>
        <w:numPr>
          <w:ilvl w:val="1"/>
          <w:numId w:val="4"/>
        </w:numPr>
        <w:tabs>
          <w:tab w:val="num" w:pos="720"/>
        </w:tabs>
      </w:pPr>
      <w:r>
        <w:t>For the purposes of sub-paragraph (1)—</w:t>
      </w:r>
    </w:p>
    <w:p w14:paraId="341C7C1B" w14:textId="77777777" w:rsidR="00AC0BDE" w:rsidRDefault="00AC0BDE" w:rsidP="00AC0BDE">
      <w:pPr>
        <w:pStyle w:val="N3"/>
        <w:numPr>
          <w:ilvl w:val="2"/>
          <w:numId w:val="4"/>
        </w:numPr>
      </w:pPr>
      <w:r>
        <w:t>“Crown servant” has the meaning given in section 12(1)(a) to (e) of the Official Secrets Act 1989,</w:t>
      </w:r>
    </w:p>
    <w:p w14:paraId="43D1E103" w14:textId="77777777" w:rsidR="00AC0BDE" w:rsidRDefault="00AC0BDE" w:rsidP="00AC0BDE">
      <w:pPr>
        <w:pStyle w:val="N3"/>
        <w:numPr>
          <w:ilvl w:val="2"/>
          <w:numId w:val="4"/>
        </w:numPr>
      </w:pPr>
      <w:r>
        <w:t>“essential government work” means work which has been designated as such by the relevant Department or employer, and includes, in particular, work related to national security, the work of the National Crime Agency in pursuance of its statutory functions, immigration, the coronavirus disease and any other crisis response, but does not include work of the description in paragraph 2 of Part 1 of this Schedule,</w:t>
      </w:r>
    </w:p>
    <w:p w14:paraId="65B21BAF" w14:textId="77777777" w:rsidR="00AC0BDE" w:rsidRDefault="00AC0BDE" w:rsidP="00AC0BDE">
      <w:pPr>
        <w:pStyle w:val="N3"/>
        <w:numPr>
          <w:ilvl w:val="2"/>
          <w:numId w:val="4"/>
        </w:numPr>
      </w:pPr>
      <w:r>
        <w:t>“essential policing” means policing which has been designated as such on behalf of the relevant chief officer or chief constable,</w:t>
      </w:r>
    </w:p>
    <w:p w14:paraId="7CDD027B" w14:textId="77777777" w:rsidR="00AC0BDE" w:rsidRDefault="00AC0BDE" w:rsidP="00AC0BDE">
      <w:pPr>
        <w:pStyle w:val="N3"/>
        <w:numPr>
          <w:ilvl w:val="2"/>
          <w:numId w:val="4"/>
        </w:numPr>
      </w:pPr>
      <w:r>
        <w:t>“government contractor” has the meaning given in section 12(2) of the Official Secrets Act 1989.</w:t>
      </w:r>
    </w:p>
    <w:p w14:paraId="47AD2BD2" w14:textId="77777777" w:rsidR="00AC0BDE" w:rsidRDefault="00AC0BDE" w:rsidP="65C70E7B">
      <w:pPr>
        <w:rPr>
          <w:rFonts w:eastAsia="Calibri" w:cs="Arial"/>
          <w:u w:val="single"/>
        </w:rPr>
      </w:pPr>
    </w:p>
    <w:p w14:paraId="323D3365" w14:textId="77777777" w:rsidR="00AC0BDE" w:rsidRDefault="00AC0BDE" w:rsidP="65C70E7B">
      <w:pPr>
        <w:rPr>
          <w:rFonts w:eastAsia="Calibri" w:cs="Arial"/>
          <w:u w:val="single"/>
        </w:rPr>
      </w:pPr>
    </w:p>
    <w:p w14:paraId="430A36D4" w14:textId="36381B9A" w:rsidR="008D732A" w:rsidRDefault="008D732A" w:rsidP="008D732A">
      <w:pPr>
        <w:pStyle w:val="N1"/>
        <w:numPr>
          <w:ilvl w:val="0"/>
          <w:numId w:val="0"/>
        </w:numPr>
        <w:ind w:left="170"/>
      </w:pPr>
      <w:r>
        <w:rPr>
          <w:rFonts w:ascii="Arial" w:hAnsi="Arial" w:cs="Arial"/>
        </w:rPr>
        <w:t>18.</w:t>
      </w:r>
      <w:r w:rsidR="00D66ED6" w:rsidRPr="004B2382">
        <w:rPr>
          <w:rFonts w:ascii="Arial" w:hAnsi="Arial" w:cs="Arial"/>
        </w:rPr>
        <w:t>—</w:t>
      </w:r>
      <w:r>
        <w:t>—</w:t>
      </w:r>
      <w:r>
        <w:t>(1)</w:t>
      </w:r>
      <w:r>
        <w:t> Workers engaged in essential or emergency works—</w:t>
      </w:r>
    </w:p>
    <w:p w14:paraId="79E63B21" w14:textId="77777777" w:rsidR="008D732A" w:rsidRDefault="008D732A" w:rsidP="008D732A">
      <w:pPr>
        <w:pStyle w:val="N3"/>
        <w:numPr>
          <w:ilvl w:val="2"/>
          <w:numId w:val="4"/>
        </w:numPr>
      </w:pPr>
      <w:r>
        <w:t>related to—</w:t>
      </w:r>
    </w:p>
    <w:p w14:paraId="10775235" w14:textId="77777777" w:rsidR="008D732A" w:rsidRDefault="008D732A" w:rsidP="008D732A">
      <w:pPr>
        <w:pStyle w:val="N4"/>
        <w:numPr>
          <w:ilvl w:val="3"/>
          <w:numId w:val="4"/>
        </w:numPr>
      </w:pPr>
      <w:r>
        <w:t>a generating station,</w:t>
      </w:r>
    </w:p>
    <w:p w14:paraId="4C99806A" w14:textId="77777777" w:rsidR="008D732A" w:rsidRDefault="008D732A" w:rsidP="008D732A">
      <w:pPr>
        <w:pStyle w:val="N4"/>
        <w:numPr>
          <w:ilvl w:val="3"/>
          <w:numId w:val="4"/>
        </w:numPr>
      </w:pPr>
      <w:r>
        <w:t>an electricity interconnector,</w:t>
      </w:r>
    </w:p>
    <w:p w14:paraId="37E02F16" w14:textId="77777777" w:rsidR="008D732A" w:rsidRDefault="008D732A" w:rsidP="008D732A">
      <w:pPr>
        <w:pStyle w:val="N4"/>
        <w:numPr>
          <w:ilvl w:val="3"/>
          <w:numId w:val="4"/>
        </w:numPr>
      </w:pPr>
      <w:r>
        <w:t>a district heat network as defined in regulation 2 of the Heat Network (Metering and Billing) Regulations 2014(</w:t>
      </w:r>
      <w:r>
        <w:rPr>
          <w:rStyle w:val="FootnoteReference"/>
        </w:rPr>
        <w:footnoteReference w:id="6"/>
      </w:r>
      <w:r>
        <w:t>),</w:t>
      </w:r>
    </w:p>
    <w:p w14:paraId="2E7B2AE5" w14:textId="77777777" w:rsidR="008D732A" w:rsidRDefault="008D732A" w:rsidP="008D732A">
      <w:pPr>
        <w:pStyle w:val="N4"/>
        <w:numPr>
          <w:ilvl w:val="3"/>
          <w:numId w:val="4"/>
        </w:numPr>
      </w:pPr>
      <w:r>
        <w:t>communal heating as defined in regulation 2 of the Heat Network (Metering and Billing) Regulations 2014,</w:t>
      </w:r>
    </w:p>
    <w:p w14:paraId="46296D1B" w14:textId="77777777" w:rsidR="008D732A" w:rsidRDefault="008D732A" w:rsidP="008D732A">
      <w:pPr>
        <w:pStyle w:val="N4"/>
        <w:numPr>
          <w:ilvl w:val="3"/>
          <w:numId w:val="4"/>
        </w:numPr>
      </w:pPr>
      <w:r>
        <w:t>automated ballast cleaning and track re-laying systems on a network, or</w:t>
      </w:r>
    </w:p>
    <w:p w14:paraId="3E4B7D73" w14:textId="77777777" w:rsidR="008D732A" w:rsidRDefault="008D732A" w:rsidP="008D732A">
      <w:pPr>
        <w:pStyle w:val="N4"/>
        <w:numPr>
          <w:ilvl w:val="3"/>
          <w:numId w:val="4"/>
        </w:numPr>
      </w:pPr>
      <w:r>
        <w:lastRenderedPageBreak/>
        <w:t xml:space="preserve">the commissioning, </w:t>
      </w:r>
      <w:proofErr w:type="gramStart"/>
      <w:r>
        <w:t>maintenance</w:t>
      </w:r>
      <w:proofErr w:type="gramEnd"/>
      <w:r>
        <w:t xml:space="preserve"> and repair of industrial machinery for use on a network, or</w:t>
      </w:r>
    </w:p>
    <w:p w14:paraId="71187A0B" w14:textId="77777777" w:rsidR="008D732A" w:rsidRDefault="008D732A" w:rsidP="008D732A">
      <w:pPr>
        <w:pStyle w:val="N3"/>
        <w:numPr>
          <w:ilvl w:val="2"/>
          <w:numId w:val="4"/>
        </w:numPr>
      </w:pPr>
      <w:r>
        <w:t>carried out by or on behalf of—</w:t>
      </w:r>
    </w:p>
    <w:p w14:paraId="530EECF5" w14:textId="77777777" w:rsidR="008D732A" w:rsidRDefault="008D732A" w:rsidP="008D732A">
      <w:pPr>
        <w:pStyle w:val="N4"/>
        <w:numPr>
          <w:ilvl w:val="3"/>
          <w:numId w:val="4"/>
        </w:numPr>
      </w:pPr>
      <w:r>
        <w:t>the national system operator,</w:t>
      </w:r>
    </w:p>
    <w:p w14:paraId="7EA561AB" w14:textId="77777777" w:rsidR="008D732A" w:rsidRDefault="008D732A" w:rsidP="008D732A">
      <w:pPr>
        <w:pStyle w:val="N4"/>
        <w:numPr>
          <w:ilvl w:val="3"/>
          <w:numId w:val="4"/>
        </w:numPr>
      </w:pPr>
      <w:r>
        <w:t>a person holding a transmission licence,</w:t>
      </w:r>
    </w:p>
    <w:p w14:paraId="29A0E831" w14:textId="77777777" w:rsidR="008D732A" w:rsidRDefault="008D732A" w:rsidP="008D732A">
      <w:pPr>
        <w:pStyle w:val="N4"/>
        <w:numPr>
          <w:ilvl w:val="3"/>
          <w:numId w:val="4"/>
        </w:numPr>
      </w:pPr>
      <w:r>
        <w:t>a person holding a distribution licence,</w:t>
      </w:r>
    </w:p>
    <w:p w14:paraId="1CF85813" w14:textId="77777777" w:rsidR="008D732A" w:rsidRDefault="008D732A" w:rsidP="008D732A">
      <w:pPr>
        <w:pStyle w:val="N4"/>
        <w:numPr>
          <w:ilvl w:val="3"/>
          <w:numId w:val="4"/>
        </w:numPr>
      </w:pPr>
      <w:r>
        <w:t>a person holding a licence under section 7 and 7ZA of the Gas Act 1986(</w:t>
      </w:r>
      <w:r>
        <w:rPr>
          <w:rStyle w:val="FootnoteReference"/>
        </w:rPr>
        <w:footnoteReference w:id="7"/>
      </w:r>
      <w:r>
        <w:t>),</w:t>
      </w:r>
    </w:p>
    <w:p w14:paraId="7E57942F" w14:textId="77777777" w:rsidR="008D732A" w:rsidRDefault="008D732A" w:rsidP="008D732A">
      <w:pPr>
        <w:pStyle w:val="N4"/>
        <w:numPr>
          <w:ilvl w:val="3"/>
          <w:numId w:val="4"/>
        </w:numPr>
      </w:pPr>
      <w:proofErr w:type="gramStart"/>
      <w:r>
        <w:t>a</w:t>
      </w:r>
      <w:proofErr w:type="gramEnd"/>
      <w:r>
        <w:t xml:space="preserve"> LNG import or export facility as defined in section 48 of the Gas Act 1986(</w:t>
      </w:r>
      <w:r>
        <w:rPr>
          <w:rStyle w:val="FootnoteReference"/>
        </w:rPr>
        <w:footnoteReference w:id="8"/>
      </w:r>
      <w:r>
        <w:t>), or</w:t>
      </w:r>
    </w:p>
    <w:p w14:paraId="00DCD3A0" w14:textId="77777777" w:rsidR="008D732A" w:rsidRDefault="008D732A" w:rsidP="008D732A">
      <w:pPr>
        <w:pStyle w:val="N4"/>
        <w:numPr>
          <w:ilvl w:val="3"/>
          <w:numId w:val="4"/>
        </w:numPr>
      </w:pPr>
      <w:r>
        <w:t>a person holding a network licence under section 8 of the Railways Act 1993,</w:t>
      </w:r>
    </w:p>
    <w:p w14:paraId="32AF610A" w14:textId="77777777" w:rsidR="008D732A" w:rsidRDefault="008D732A" w:rsidP="008D732A">
      <w:pPr>
        <w:pStyle w:val="T2"/>
      </w:pPr>
      <w:r>
        <w:t>where they have travelled to the United Kingdom for the purposes of their work.</w:t>
      </w:r>
    </w:p>
    <w:p w14:paraId="0D2A9427" w14:textId="2545F91A" w:rsidR="008D732A" w:rsidRDefault="008D732A" w:rsidP="008D732A">
      <w:pPr>
        <w:pStyle w:val="N2"/>
        <w:numPr>
          <w:ilvl w:val="1"/>
          <w:numId w:val="9"/>
        </w:numPr>
      </w:pPr>
      <w:r>
        <w:t>For the purposes of sub-paragraph (1)—</w:t>
      </w:r>
    </w:p>
    <w:p w14:paraId="35826124" w14:textId="77777777" w:rsidR="008D732A" w:rsidRDefault="008D732A" w:rsidP="008D732A">
      <w:pPr>
        <w:pStyle w:val="N3"/>
        <w:numPr>
          <w:ilvl w:val="2"/>
          <w:numId w:val="4"/>
        </w:numPr>
      </w:pPr>
      <w:r>
        <w:t>“distribution licence” means a licence granted under section 6(1)(c) of the Electricity Act 1989(</w:t>
      </w:r>
      <w:r>
        <w:rPr>
          <w:rStyle w:val="FootnoteReference"/>
        </w:rPr>
        <w:footnoteReference w:id="9"/>
      </w:r>
      <w:r>
        <w:t>),</w:t>
      </w:r>
    </w:p>
    <w:p w14:paraId="65D5706A" w14:textId="77777777" w:rsidR="008D732A" w:rsidRDefault="008D732A" w:rsidP="008D732A">
      <w:pPr>
        <w:pStyle w:val="N3"/>
        <w:numPr>
          <w:ilvl w:val="2"/>
          <w:numId w:val="4"/>
        </w:numPr>
      </w:pPr>
      <w:r>
        <w:t>“essential or emergency works” includes commissioning, inspections, maintenance, repairs, and asset replacement activities,</w:t>
      </w:r>
    </w:p>
    <w:p w14:paraId="48467BDB" w14:textId="77777777" w:rsidR="008D732A" w:rsidRDefault="008D732A" w:rsidP="008D732A">
      <w:pPr>
        <w:pStyle w:val="N3"/>
        <w:numPr>
          <w:ilvl w:val="2"/>
          <w:numId w:val="4"/>
        </w:numPr>
      </w:pPr>
      <w:r>
        <w:t>“national system operator” means the person operating the national transmission system for Great Britain,</w:t>
      </w:r>
    </w:p>
    <w:p w14:paraId="530A693C" w14:textId="77777777" w:rsidR="008D732A" w:rsidRDefault="008D732A" w:rsidP="008D732A">
      <w:pPr>
        <w:pStyle w:val="N3"/>
        <w:numPr>
          <w:ilvl w:val="2"/>
          <w:numId w:val="4"/>
        </w:numPr>
      </w:pPr>
      <w:r>
        <w:t>“network”, in sub-paragraph (1)(a)(v) and (vi), has the meaning given in section 83(1) of the Railways Act 1993(</w:t>
      </w:r>
      <w:r>
        <w:rPr>
          <w:rStyle w:val="FootnoteReference"/>
        </w:rPr>
        <w:footnoteReference w:id="10"/>
      </w:r>
      <w:r>
        <w:t>)</w:t>
      </w:r>
    </w:p>
    <w:p w14:paraId="5173F31F" w14:textId="77777777" w:rsidR="008D732A" w:rsidRDefault="008D732A" w:rsidP="008D732A">
      <w:pPr>
        <w:pStyle w:val="N3"/>
        <w:numPr>
          <w:ilvl w:val="2"/>
          <w:numId w:val="4"/>
        </w:numPr>
      </w:pPr>
      <w:r>
        <w:t>“transmission licence” means a licence granted under section 6(1)(b) of the Electricity Act 1989,</w:t>
      </w:r>
    </w:p>
    <w:p w14:paraId="6842BB4F" w14:textId="77777777" w:rsidR="008D732A" w:rsidRDefault="008D732A" w:rsidP="008D732A">
      <w:pPr>
        <w:pStyle w:val="N3"/>
        <w:numPr>
          <w:ilvl w:val="2"/>
          <w:numId w:val="4"/>
        </w:numPr>
      </w:pPr>
      <w:r>
        <w:t>“electricity interconnector”, “generating station” and “transmission system” have the meanings given in section 64(1) of the Electricity Act 1989(</w:t>
      </w:r>
      <w:r>
        <w:rPr>
          <w:rStyle w:val="FootnoteReference"/>
        </w:rPr>
        <w:footnoteReference w:id="11"/>
      </w:r>
      <w:r>
        <w:t>).</w:t>
      </w:r>
    </w:p>
    <w:p w14:paraId="55B7272A" w14:textId="77777777" w:rsidR="00F15AB5" w:rsidRDefault="00F15AB5" w:rsidP="00DB32CC">
      <w:pPr>
        <w:pStyle w:val="N1"/>
        <w:numPr>
          <w:ilvl w:val="0"/>
          <w:numId w:val="11"/>
        </w:numPr>
      </w:pPr>
      <w:r>
        <w:t>—</w:t>
      </w:r>
      <w:r>
        <w:fldChar w:fldCharType="begin"/>
      </w:r>
      <w:r>
        <w:instrText xml:space="preserve"> LISTNUM "SEQ1" \l 2 </w:instrText>
      </w:r>
      <w:r>
        <w:fldChar w:fldCharType="end"/>
      </w:r>
      <w:r>
        <w:t> A person who is—</w:t>
      </w:r>
    </w:p>
    <w:p w14:paraId="6E666034" w14:textId="77777777" w:rsidR="00F15AB5" w:rsidRDefault="00F15AB5" w:rsidP="00F15AB5">
      <w:pPr>
        <w:pStyle w:val="N3"/>
      </w:pPr>
      <w:r>
        <w:t>nuclear personnel, and who is essential to the safe and secure operations of a site in respect of which a nuclear site licence has been granted,</w:t>
      </w:r>
    </w:p>
    <w:p w14:paraId="6885A4F2" w14:textId="77777777" w:rsidR="00F15AB5" w:rsidRDefault="00F15AB5" w:rsidP="00F15AB5">
      <w:pPr>
        <w:pStyle w:val="N3"/>
      </w:pPr>
      <w:r>
        <w:t>a nuclear emergency responder,</w:t>
      </w:r>
    </w:p>
    <w:p w14:paraId="6A15D411" w14:textId="77777777" w:rsidR="00F15AB5" w:rsidRDefault="00F15AB5" w:rsidP="00F15AB5">
      <w:pPr>
        <w:pStyle w:val="N3"/>
      </w:pPr>
      <w:r>
        <w:t>an agency inspector, or</w:t>
      </w:r>
    </w:p>
    <w:p w14:paraId="62758F8D" w14:textId="77777777" w:rsidR="00F15AB5" w:rsidRDefault="00F15AB5" w:rsidP="00F15AB5">
      <w:pPr>
        <w:pStyle w:val="N3"/>
      </w:pPr>
      <w:r>
        <w:t xml:space="preserve">a Euratom inspector, </w:t>
      </w:r>
      <w:proofErr w:type="gramStart"/>
      <w:r>
        <w:t>provided that</w:t>
      </w:r>
      <w:proofErr w:type="gramEnd"/>
      <w:r>
        <w:t xml:space="preserve"> they arrive in the United Kingdom before IP completion day,</w:t>
      </w:r>
    </w:p>
    <w:p w14:paraId="53110C55" w14:textId="77777777" w:rsidR="00F15AB5" w:rsidRDefault="00F15AB5" w:rsidP="00F15AB5">
      <w:pPr>
        <w:pStyle w:val="T2"/>
      </w:pPr>
      <w:r>
        <w:t>where they have travelled to the United Kingdom in the course of their work.</w:t>
      </w:r>
    </w:p>
    <w:p w14:paraId="5012F93C" w14:textId="77777777" w:rsidR="00F15AB5" w:rsidRDefault="00F15AB5" w:rsidP="00F15AB5">
      <w:pPr>
        <w:pStyle w:val="N2"/>
      </w:pPr>
      <w:r>
        <w:t>For the purposes of sub-paragraph (1)—</w:t>
      </w:r>
    </w:p>
    <w:p w14:paraId="02F06345" w14:textId="77777777" w:rsidR="00F15AB5" w:rsidRDefault="00F15AB5" w:rsidP="00F15AB5">
      <w:pPr>
        <w:pStyle w:val="N3"/>
      </w:pPr>
      <w:r>
        <w:t>“agency inspector” has the meaning given in section 1(1) of the Nuclear Safeguards Act 2000(</w:t>
      </w:r>
      <w:r>
        <w:rPr>
          <w:rStyle w:val="FootnoteReference"/>
        </w:rPr>
        <w:footnoteReference w:id="12"/>
      </w:r>
      <w:r>
        <w:t>),</w:t>
      </w:r>
    </w:p>
    <w:p w14:paraId="5B1CF3D4" w14:textId="77777777" w:rsidR="00F15AB5" w:rsidRDefault="00F15AB5" w:rsidP="00F15AB5">
      <w:pPr>
        <w:pStyle w:val="N3"/>
      </w:pPr>
      <w:r>
        <w:t>“nuclear emergency responder” means a person providing assistance to the United Kingdom in accordance with the Convention on Assistance in the Case of a Nuclear Accident or Radiological Emergency done at Vienna on 26 September 1986, who has been duly notified to and accepted by the United Kingdom, where the United Kingdom has requested assistance under that Convention,</w:t>
      </w:r>
    </w:p>
    <w:p w14:paraId="00C2FAD7" w14:textId="77777777" w:rsidR="00F15AB5" w:rsidRDefault="00F15AB5" w:rsidP="00F15AB5">
      <w:pPr>
        <w:pStyle w:val="N3"/>
      </w:pPr>
      <w:r>
        <w:t>“Euratom inspector” means an inspector sent to the United Kingdom by the Commission of the European Union in accordance with Articles 81 and 82 of the Euratom Treaty,</w:t>
      </w:r>
    </w:p>
    <w:p w14:paraId="531DC705" w14:textId="77777777" w:rsidR="00F15AB5" w:rsidRDefault="00F15AB5" w:rsidP="00F15AB5">
      <w:pPr>
        <w:pStyle w:val="N3"/>
      </w:pPr>
      <w:r>
        <w:t>“nuclear personnel” means—</w:t>
      </w:r>
    </w:p>
    <w:p w14:paraId="3868FE82" w14:textId="77777777" w:rsidR="00F15AB5" w:rsidRDefault="00F15AB5" w:rsidP="00F15AB5">
      <w:pPr>
        <w:pStyle w:val="N4"/>
      </w:pPr>
      <w:r>
        <w:t>a worker who is employed to carry out work on or in relation to a site in respect of which a nuclear site licence has been granted, or</w:t>
      </w:r>
    </w:p>
    <w:p w14:paraId="2EF8918D" w14:textId="77777777" w:rsidR="00F15AB5" w:rsidRDefault="00F15AB5" w:rsidP="00F15AB5">
      <w:pPr>
        <w:pStyle w:val="N4"/>
      </w:pPr>
      <w:r>
        <w:t xml:space="preserve">an employee of the Nuclear Decommissioning </w:t>
      </w:r>
      <w:proofErr w:type="gramStart"/>
      <w:r>
        <w:t>Authority(</w:t>
      </w:r>
      <w:proofErr w:type="gramEnd"/>
      <w:r>
        <w:rPr>
          <w:rStyle w:val="FootnoteReference"/>
        </w:rPr>
        <w:footnoteReference w:id="13"/>
      </w:r>
      <w:r>
        <w:t>),</w:t>
      </w:r>
    </w:p>
    <w:p w14:paraId="10F49D46" w14:textId="77777777" w:rsidR="00F15AB5" w:rsidRDefault="00F15AB5" w:rsidP="00F15AB5">
      <w:pPr>
        <w:pStyle w:val="N3"/>
      </w:pPr>
      <w:r>
        <w:t>“nuclear site licence” has the meaning given in section 1 of the Nuclear Installations Act 1965(</w:t>
      </w:r>
      <w:r>
        <w:rPr>
          <w:rStyle w:val="FootnoteReference"/>
        </w:rPr>
        <w:footnoteReference w:id="14"/>
      </w:r>
      <w:r>
        <w:t>).</w:t>
      </w:r>
    </w:p>
    <w:p w14:paraId="1342521C" w14:textId="77777777" w:rsidR="00F15AB5" w:rsidRDefault="00F15AB5" w:rsidP="00F15AB5">
      <w:pPr>
        <w:pStyle w:val="N1"/>
      </w:pPr>
      <w:r>
        <w:t> An inspector from the Organisation for the Prohibition of Chemical Weapons, within the meaning given to “inspector” by section 24(e) of the Chemical Weapons Act 1996(</w:t>
      </w:r>
      <w:r>
        <w:rPr>
          <w:rStyle w:val="FootnoteReference"/>
        </w:rPr>
        <w:footnoteReference w:id="15"/>
      </w:r>
      <w:r>
        <w:t>), who has travelled to the United Kingdom for the purposes of an inspection.</w:t>
      </w:r>
    </w:p>
    <w:p w14:paraId="7254C12E" w14:textId="77777777" w:rsidR="00F15AB5" w:rsidRDefault="00F15AB5" w:rsidP="00F15AB5">
      <w:pPr>
        <w:pStyle w:val="N1"/>
      </w:pPr>
      <w:r>
        <w:lastRenderedPageBreak/>
        <w:t>—</w:t>
      </w:r>
      <w:r>
        <w:fldChar w:fldCharType="begin"/>
      </w:r>
      <w:r>
        <w:instrText xml:space="preserve"> LISTNUM "SEQ1" \l 2 </w:instrText>
      </w:r>
      <w:r>
        <w:fldChar w:fldCharType="end"/>
      </w:r>
      <w:r>
        <w:t> A person who is—</w:t>
      </w:r>
    </w:p>
    <w:p w14:paraId="3883E6B7" w14:textId="77777777" w:rsidR="00F15AB5" w:rsidRDefault="00F15AB5" w:rsidP="00F15AB5">
      <w:pPr>
        <w:pStyle w:val="N3"/>
      </w:pPr>
      <w:r>
        <w:t>carrying out a critical function at a space site or spacecraft controller who is responsible for command and control of a launch vehicle or spacecraft for nominal operations, collision avoidance or anomalies, or</w:t>
      </w:r>
    </w:p>
    <w:p w14:paraId="3736CEA0" w14:textId="77777777" w:rsidR="00F15AB5" w:rsidRDefault="00F15AB5" w:rsidP="00F15AB5">
      <w:pPr>
        <w:pStyle w:val="N3"/>
      </w:pPr>
      <w:r>
        <w:t>employed by, or contracted to provide services to, a person who operates or maintains space situational awareness capabilities,</w:t>
      </w:r>
    </w:p>
    <w:p w14:paraId="4CA1A94A" w14:textId="77777777" w:rsidR="00F15AB5" w:rsidRDefault="00F15AB5" w:rsidP="00F15AB5">
      <w:pPr>
        <w:pStyle w:val="T2"/>
      </w:pPr>
      <w:r>
        <w:t>where they have travelled to the United Kingdom in the course of their work.</w:t>
      </w:r>
    </w:p>
    <w:p w14:paraId="70E85B90" w14:textId="77777777" w:rsidR="00F15AB5" w:rsidRDefault="00F15AB5" w:rsidP="00F15AB5">
      <w:pPr>
        <w:pStyle w:val="N2"/>
      </w:pPr>
      <w:r>
        <w:t>For the purposes of sub-paragraph (1)—</w:t>
      </w:r>
    </w:p>
    <w:p w14:paraId="1D0DA1CB" w14:textId="77777777" w:rsidR="00F15AB5" w:rsidRDefault="00F15AB5" w:rsidP="00F15AB5">
      <w:pPr>
        <w:pStyle w:val="N3"/>
      </w:pPr>
      <w:r>
        <w:t>“space site” has the meaning given in paragraph 5(3) of Schedule 4 to the Space Industry Act 2018(</w:t>
      </w:r>
      <w:r>
        <w:rPr>
          <w:rStyle w:val="FootnoteReference"/>
        </w:rPr>
        <w:footnoteReference w:id="16"/>
      </w:r>
      <w:r>
        <w:t>),</w:t>
      </w:r>
    </w:p>
    <w:p w14:paraId="2F04B39A" w14:textId="77777777" w:rsidR="00F15AB5" w:rsidRDefault="00F15AB5" w:rsidP="00F15AB5">
      <w:pPr>
        <w:pStyle w:val="N3"/>
      </w:pPr>
      <w:r>
        <w:t xml:space="preserve">“space situational awareness capabilities” means the sensors, systems and analytical services needed to provide time-sensitive warnings of space weather events, orbital collisions, orbital </w:t>
      </w:r>
      <w:proofErr w:type="gramStart"/>
      <w:r>
        <w:t>fragmentations</w:t>
      </w:r>
      <w:proofErr w:type="gramEnd"/>
      <w:r>
        <w:t xml:space="preserve"> or the re-entry of man-made objects from orbit,</w:t>
      </w:r>
    </w:p>
    <w:p w14:paraId="626AE007" w14:textId="77777777" w:rsidR="00F15AB5" w:rsidRDefault="00F15AB5" w:rsidP="00F15AB5">
      <w:pPr>
        <w:pStyle w:val="N3"/>
      </w:pPr>
      <w:r>
        <w:t>“spacecraft” has the meaning given in section 2(6) of the Space Industry Act 2018,</w:t>
      </w:r>
    </w:p>
    <w:p w14:paraId="39215884" w14:textId="77777777" w:rsidR="00F15AB5" w:rsidRDefault="00F15AB5" w:rsidP="00F15AB5">
      <w:pPr>
        <w:pStyle w:val="N3"/>
      </w:pPr>
      <w:r>
        <w:t>“spacecraft controller” means a person competent, authorised and responsible for maintaining safe and secure operation of spacecraft through monitoring the status of a spacecraft, issuing manoeuvre commands or controlling other aspects of the spacecraft that influence its behaviour including its motion in space.</w:t>
      </w:r>
    </w:p>
    <w:p w14:paraId="4F4D8FFA" w14:textId="77777777" w:rsidR="00F15AB5" w:rsidRDefault="00F15AB5" w:rsidP="00F15AB5">
      <w:pPr>
        <w:pStyle w:val="N1"/>
      </w:pPr>
      <w:r>
        <w:t>—</w:t>
      </w:r>
      <w:r>
        <w:fldChar w:fldCharType="begin"/>
      </w:r>
      <w:r>
        <w:instrText xml:space="preserve"> LISTNUM "SEQ1" \l 2 </w:instrText>
      </w:r>
      <w:r>
        <w:fldChar w:fldCharType="end"/>
      </w:r>
      <w:r>
        <w:t> A specialist aerospace engineer, or a specialist aerospace worker, where they have travelled to the United Kingdom in the course of their work.</w:t>
      </w:r>
    </w:p>
    <w:p w14:paraId="6D99435B" w14:textId="77777777" w:rsidR="00F15AB5" w:rsidRDefault="00F15AB5" w:rsidP="00F15AB5">
      <w:pPr>
        <w:pStyle w:val="N2"/>
      </w:pPr>
      <w:r>
        <w:t>For the purposes of sub-paragraph (1)—</w:t>
      </w:r>
    </w:p>
    <w:p w14:paraId="2BB9FC96" w14:textId="77777777" w:rsidR="00F15AB5" w:rsidRDefault="00F15AB5" w:rsidP="00F15AB5">
      <w:pPr>
        <w:pStyle w:val="N3"/>
      </w:pPr>
      <w:r>
        <w:t xml:space="preserve">“specialist aerospace engineer” means a person who is employed or otherwise engaged to provide engineering services for the purpose of ensuring the continued operation of aviation activities (including but not limited to the provision of maintenance and repair services for production lines, aviation components, grounded </w:t>
      </w:r>
      <w:proofErr w:type="gramStart"/>
      <w:r>
        <w:t>aircraft</w:t>
      </w:r>
      <w:proofErr w:type="gramEnd"/>
      <w:r>
        <w:t xml:space="preserve"> and new aircraft),</w:t>
      </w:r>
    </w:p>
    <w:p w14:paraId="191BCA28" w14:textId="77777777" w:rsidR="00F15AB5" w:rsidRDefault="00F15AB5" w:rsidP="00F15AB5">
      <w:pPr>
        <w:pStyle w:val="N3"/>
      </w:pPr>
      <w:r>
        <w:t>“specialist aerospace worker” means a person who is employed or otherwise engaged to provide services for the purpose of ensuring safety management and quality assurance as required by relevant standards, guidance and publications on aviation safety produced by the Civil Aviation Authority or the European Union Aviation Safety Agency(</w:t>
      </w:r>
      <w:r>
        <w:rPr>
          <w:rStyle w:val="FootnoteReference"/>
        </w:rPr>
        <w:footnoteReference w:id="17"/>
      </w:r>
      <w:r>
        <w:t>).</w:t>
      </w:r>
    </w:p>
    <w:p w14:paraId="5A2714D4" w14:textId="77777777" w:rsidR="00F15AB5" w:rsidRDefault="00F15AB5" w:rsidP="00F15AB5">
      <w:pPr>
        <w:pStyle w:val="N1"/>
      </w:pPr>
      <w:r>
        <w:t>—</w:t>
      </w:r>
      <w:r>
        <w:fldChar w:fldCharType="begin"/>
      </w:r>
      <w:r>
        <w:instrText xml:space="preserve"> LISTNUM "SEQ1" \l 2 </w:instrText>
      </w:r>
      <w:r>
        <w:fldChar w:fldCharType="end"/>
      </w:r>
      <w:r>
        <w:t> A person engaged in operational, maintenance or safety activities of a downstream oil facility that has a capacity in excess of 20,000 tonnes, where —</w:t>
      </w:r>
    </w:p>
    <w:p w14:paraId="285700FA" w14:textId="77777777" w:rsidR="00F15AB5" w:rsidRDefault="00F15AB5" w:rsidP="00F15AB5">
      <w:pPr>
        <w:pStyle w:val="N3"/>
      </w:pPr>
      <w:r>
        <w:t>the downstream oil facility is engaged in a specified activity carried on in the United Kingdom in the course of a business, and contributes (directly or indirectly) to the supply of crude oil based fuels to consumers in the United Kingdom or persons carrying on business in the United Kingdom, and</w:t>
      </w:r>
    </w:p>
    <w:p w14:paraId="2CCD493E" w14:textId="77777777" w:rsidR="00F15AB5" w:rsidRDefault="00F15AB5" w:rsidP="00F15AB5">
      <w:pPr>
        <w:pStyle w:val="N3"/>
      </w:pPr>
      <w:r>
        <w:t>the activities are required to ensure continued safe operation of the facility,</w:t>
      </w:r>
    </w:p>
    <w:p w14:paraId="5A7FA1DE" w14:textId="77777777" w:rsidR="00F15AB5" w:rsidRDefault="00F15AB5" w:rsidP="00F15AB5">
      <w:pPr>
        <w:pStyle w:val="T2"/>
      </w:pPr>
      <w:r>
        <w:t>where they have travelled to the United Kingdom in the course of their work.</w:t>
      </w:r>
    </w:p>
    <w:p w14:paraId="6D71B363" w14:textId="77777777" w:rsidR="00F15AB5" w:rsidRDefault="00F15AB5" w:rsidP="00F15AB5">
      <w:pPr>
        <w:pStyle w:val="N2"/>
      </w:pPr>
      <w:r>
        <w:t>For the purposes of sub-paragraph (1)—</w:t>
      </w:r>
    </w:p>
    <w:p w14:paraId="3DFBD2D4" w14:textId="77777777" w:rsidR="00F15AB5" w:rsidRDefault="00F15AB5" w:rsidP="00F15AB5">
      <w:pPr>
        <w:pStyle w:val="N3"/>
      </w:pPr>
      <w:r>
        <w:t xml:space="preserve">a facility has a capacity </w:t>
      </w:r>
      <w:proofErr w:type="gramStart"/>
      <w:r>
        <w:t>in excess of</w:t>
      </w:r>
      <w:proofErr w:type="gramEnd"/>
      <w:r>
        <w:t xml:space="preserve"> 20,000 tonnes at any time if it was used in the previous calendar year for the purposes of downstream oil sector activities in relation to more than that number of tonnes of oil,</w:t>
      </w:r>
    </w:p>
    <w:p w14:paraId="00D3DE38" w14:textId="77777777" w:rsidR="00F15AB5" w:rsidRDefault="00F15AB5" w:rsidP="00F15AB5">
      <w:pPr>
        <w:pStyle w:val="N3"/>
      </w:pPr>
      <w:r>
        <w:t>“specified activities” are—</w:t>
      </w:r>
    </w:p>
    <w:p w14:paraId="5B00BD98" w14:textId="77777777" w:rsidR="00F15AB5" w:rsidRDefault="00F15AB5" w:rsidP="00F15AB5">
      <w:pPr>
        <w:pStyle w:val="N4"/>
      </w:pPr>
      <w:r>
        <w:t>storing oil,</w:t>
      </w:r>
    </w:p>
    <w:p w14:paraId="4676535A" w14:textId="77777777" w:rsidR="00F15AB5" w:rsidRDefault="00F15AB5" w:rsidP="00F15AB5">
      <w:pPr>
        <w:pStyle w:val="N4"/>
      </w:pPr>
      <w:r>
        <w:t>handling oil,</w:t>
      </w:r>
    </w:p>
    <w:p w14:paraId="44686E8C" w14:textId="77777777" w:rsidR="00F15AB5" w:rsidRDefault="00F15AB5" w:rsidP="00F15AB5">
      <w:pPr>
        <w:pStyle w:val="N4"/>
      </w:pPr>
      <w:r>
        <w:t>the carriage of oil by sea or inland water,</w:t>
      </w:r>
    </w:p>
    <w:p w14:paraId="7565DC4E" w14:textId="77777777" w:rsidR="00F15AB5" w:rsidRDefault="00F15AB5" w:rsidP="00F15AB5">
      <w:pPr>
        <w:pStyle w:val="N4"/>
      </w:pPr>
      <w:r>
        <w:t>conveying oil by pipes,</w:t>
      </w:r>
    </w:p>
    <w:p w14:paraId="5FC1884E" w14:textId="77777777" w:rsidR="00F15AB5" w:rsidRDefault="00F15AB5" w:rsidP="00F15AB5">
      <w:pPr>
        <w:pStyle w:val="N4"/>
      </w:pPr>
      <w:r>
        <w:t>refining or otherwise processing oil.</w:t>
      </w:r>
    </w:p>
    <w:p w14:paraId="1E970ECD" w14:textId="77777777" w:rsidR="00F15AB5" w:rsidRDefault="00F15AB5" w:rsidP="00F15AB5">
      <w:pPr>
        <w:pStyle w:val="N1"/>
      </w:pPr>
      <w:r>
        <w:t>—</w:t>
      </w:r>
      <w:r>
        <w:fldChar w:fldCharType="begin"/>
      </w:r>
      <w:r>
        <w:instrText xml:space="preserve"> LISTNUM "SEQ1" \l 2 </w:instrText>
      </w:r>
      <w:r>
        <w:fldChar w:fldCharType="end"/>
      </w:r>
      <w:r>
        <w:t> A worker undertaking, or required to commence—</w:t>
      </w:r>
    </w:p>
    <w:p w14:paraId="241F889E" w14:textId="77777777" w:rsidR="00F15AB5" w:rsidRDefault="00F15AB5" w:rsidP="00F15AB5">
      <w:pPr>
        <w:pStyle w:val="N3"/>
      </w:pPr>
      <w:r>
        <w:t>activities on or in relation to offshore installations,</w:t>
      </w:r>
    </w:p>
    <w:p w14:paraId="68C8ED70" w14:textId="77777777" w:rsidR="00F15AB5" w:rsidRDefault="00F15AB5" w:rsidP="00F15AB5">
      <w:pPr>
        <w:pStyle w:val="N3"/>
      </w:pPr>
      <w:r>
        <w:t>activities on or in relation to upstream petroleum infrastructure,</w:t>
      </w:r>
    </w:p>
    <w:p w14:paraId="7F49CBEF" w14:textId="77777777" w:rsidR="00F15AB5" w:rsidRDefault="00F15AB5" w:rsidP="00F15AB5">
      <w:pPr>
        <w:pStyle w:val="N3"/>
      </w:pPr>
      <w:r>
        <w:lastRenderedPageBreak/>
        <w:t>critical safety work on offshore installations and wells that are being decommissioned or which are being preserved pending demolition or reuse, or</w:t>
      </w:r>
    </w:p>
    <w:p w14:paraId="4D217F64" w14:textId="77777777" w:rsidR="00F15AB5" w:rsidRDefault="00F15AB5" w:rsidP="00F15AB5">
      <w:pPr>
        <w:pStyle w:val="N3"/>
      </w:pPr>
      <w:r>
        <w:t>activities for the provision of workers, goods, materials or equipment or other essential services required to support the safe operation of the activities referred to in paragraphs (a) to (c).</w:t>
      </w:r>
    </w:p>
    <w:p w14:paraId="19210B01" w14:textId="77777777" w:rsidR="00F15AB5" w:rsidRDefault="00F15AB5" w:rsidP="00F15AB5">
      <w:pPr>
        <w:pStyle w:val="N2"/>
      </w:pPr>
      <w:r>
        <w:t>For the purposes of sub-paragraph (1)—</w:t>
      </w:r>
    </w:p>
    <w:p w14:paraId="23AFD984" w14:textId="77777777" w:rsidR="00F15AB5" w:rsidRDefault="00F15AB5" w:rsidP="00F15AB5">
      <w:pPr>
        <w:pStyle w:val="N3"/>
      </w:pPr>
      <w:r>
        <w:t>“offshore installations” has the meaning given in section 44 of the Petroleum Act 1998(</w:t>
      </w:r>
      <w:r>
        <w:rPr>
          <w:rStyle w:val="FootnoteReference"/>
        </w:rPr>
        <w:footnoteReference w:id="18"/>
      </w:r>
      <w:r>
        <w:t>),</w:t>
      </w:r>
    </w:p>
    <w:p w14:paraId="2C38609D" w14:textId="77777777" w:rsidR="00F15AB5" w:rsidRDefault="00F15AB5" w:rsidP="00F15AB5">
      <w:pPr>
        <w:pStyle w:val="N3"/>
      </w:pPr>
      <w:r>
        <w:t>“upstream petroleum infrastructure” has the meaning given in section 9H of the Petroleum Act 1998 (</w:t>
      </w:r>
      <w:r>
        <w:rPr>
          <w:rStyle w:val="FootnoteReference"/>
        </w:rPr>
        <w:footnoteReference w:id="19"/>
      </w:r>
      <w:r>
        <w:t>),</w:t>
      </w:r>
    </w:p>
    <w:p w14:paraId="09DF41B4" w14:textId="77777777" w:rsidR="00F15AB5" w:rsidRDefault="00F15AB5" w:rsidP="00F15AB5">
      <w:pPr>
        <w:pStyle w:val="N3"/>
      </w:pPr>
      <w:r>
        <w:t>“wells” has the meaning given in section 45</w:t>
      </w:r>
      <w:proofErr w:type="gramStart"/>
      <w:r>
        <w:t>A(</w:t>
      </w:r>
      <w:proofErr w:type="gramEnd"/>
      <w:r>
        <w:t>10) of the Petroleum Act 1998(</w:t>
      </w:r>
      <w:r>
        <w:rPr>
          <w:rStyle w:val="FootnoteReference"/>
        </w:rPr>
        <w:footnoteReference w:id="20"/>
      </w:r>
      <w:r>
        <w:t>).</w:t>
      </w:r>
    </w:p>
    <w:p w14:paraId="54E841A0" w14:textId="77777777" w:rsidR="00F15AB5" w:rsidRDefault="00F15AB5" w:rsidP="00F15AB5">
      <w:pPr>
        <w:pStyle w:val="N1"/>
      </w:pPr>
      <w:r>
        <w:t> A postal operator, as defined in section 27(3) of the Postal Services Act 2011(</w:t>
      </w:r>
      <w:r>
        <w:rPr>
          <w:rStyle w:val="FootnoteReference"/>
        </w:rPr>
        <w:footnoteReference w:id="21"/>
      </w:r>
      <w:r>
        <w:t>), where they have travelled to the United Kingdom in the course of their work.</w:t>
      </w:r>
    </w:p>
    <w:p w14:paraId="6D2A698B" w14:textId="77777777" w:rsidR="00F15AB5" w:rsidRDefault="00F15AB5" w:rsidP="00F15AB5">
      <w:pPr>
        <w:pStyle w:val="N1"/>
      </w:pPr>
      <w:r>
        <w:t> A worker with specialist technical skills, where those specialist technical skills are required for essential or emergency works or services (including commissioning, maintenance, and repairs and safety checks) to ensure the continued production, supply, movement, manufacture, storage or preservation of goods, where they have travelled to the United Kingdom in the course of their work or otherwise to commence or resume their work.</w:t>
      </w:r>
    </w:p>
    <w:p w14:paraId="7388CEEF" w14:textId="00F02170" w:rsidR="00D66ED6" w:rsidRDefault="00D66ED6" w:rsidP="00045C10">
      <w:pPr>
        <w:pStyle w:val="N3"/>
        <w:numPr>
          <w:ilvl w:val="0"/>
          <w:numId w:val="0"/>
        </w:numPr>
        <w:rPr>
          <w:rFonts w:ascii="Arial" w:hAnsi="Arial" w:cs="Arial"/>
        </w:rPr>
      </w:pPr>
    </w:p>
    <w:p w14:paraId="0BB6A75C" w14:textId="77777777" w:rsidR="00045C10" w:rsidRDefault="00045C10" w:rsidP="00045C10">
      <w:pPr>
        <w:pStyle w:val="N1"/>
        <w:numPr>
          <w:ilvl w:val="0"/>
          <w:numId w:val="12"/>
        </w:numPr>
        <w:tabs>
          <w:tab w:val="num" w:pos="360"/>
        </w:tabs>
      </w:pPr>
      <w:r>
        <w:t> A person—</w:t>
      </w:r>
    </w:p>
    <w:p w14:paraId="793F3515" w14:textId="77777777" w:rsidR="00045C10" w:rsidRDefault="00045C10" w:rsidP="00045C10">
      <w:pPr>
        <w:pStyle w:val="N3"/>
      </w:pPr>
      <w:r>
        <w:t>pursuing an activity as an employed or self-employed person in the United Kingdom and who resides in another country to which they usually return at least once a week, or</w:t>
      </w:r>
    </w:p>
    <w:p w14:paraId="08E45D78" w14:textId="77777777" w:rsidR="00045C10" w:rsidRDefault="00045C10" w:rsidP="00045C10">
      <w:pPr>
        <w:pStyle w:val="N3"/>
      </w:pPr>
      <w:r>
        <w:t>residing in the United Kingdom and who pursues an activity as an employed or self-employed person in another country to which they usually go at least once a week.</w:t>
      </w:r>
    </w:p>
    <w:p w14:paraId="173F708D" w14:textId="77777777" w:rsidR="00045C10" w:rsidRPr="00393316" w:rsidRDefault="00045C10" w:rsidP="00045C10">
      <w:pPr>
        <w:pStyle w:val="N3"/>
        <w:numPr>
          <w:ilvl w:val="0"/>
          <w:numId w:val="0"/>
        </w:numPr>
        <w:rPr>
          <w:rFonts w:ascii="Arial" w:hAnsi="Arial" w:cs="Arial"/>
        </w:rPr>
      </w:pPr>
    </w:p>
    <w:p w14:paraId="62778DD9" w14:textId="77777777" w:rsidR="00D66ED6" w:rsidRPr="00393316" w:rsidRDefault="00D66ED6" w:rsidP="00393316">
      <w:pPr>
        <w:pStyle w:val="N3"/>
        <w:numPr>
          <w:ilvl w:val="0"/>
          <w:numId w:val="0"/>
        </w:numPr>
        <w:ind w:left="737"/>
        <w:rPr>
          <w:rFonts w:ascii="Arial" w:hAnsi="Arial" w:cs="Arial"/>
        </w:rPr>
      </w:pPr>
    </w:p>
    <w:p w14:paraId="08B005E7" w14:textId="77777777" w:rsidR="0066223F" w:rsidRPr="00393316" w:rsidRDefault="0066223F" w:rsidP="00393316">
      <w:pPr>
        <w:pStyle w:val="N3"/>
        <w:numPr>
          <w:ilvl w:val="0"/>
          <w:numId w:val="0"/>
        </w:numPr>
        <w:ind w:left="737"/>
        <w:rPr>
          <w:rFonts w:ascii="Arial" w:eastAsia="Calibri" w:hAnsi="Arial" w:cs="Arial"/>
        </w:rPr>
      </w:pPr>
    </w:p>
    <w:sectPr w:rsidR="0066223F" w:rsidRPr="00393316" w:rsidSect="00D66ED6">
      <w:headerReference w:type="default" r:id="rId17"/>
      <w:footerReference w:type="even" r:id="rId18"/>
      <w:footerReference w:type="default" r:id="rId19"/>
      <w:headerReference w:type="first" r:id="rId20"/>
      <w:footerReference w:type="first" r:id="rId21"/>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C635E" w14:textId="77777777" w:rsidR="00C15474" w:rsidRDefault="00C15474" w:rsidP="0066223F">
      <w:r>
        <w:separator/>
      </w:r>
    </w:p>
  </w:endnote>
  <w:endnote w:type="continuationSeparator" w:id="0">
    <w:p w14:paraId="6E598078" w14:textId="77777777" w:rsidR="00C15474" w:rsidRDefault="00C15474" w:rsidP="0066223F">
      <w:r>
        <w:continuationSeparator/>
      </w:r>
    </w:p>
  </w:endnote>
  <w:endnote w:type="continuationNotice" w:id="1">
    <w:p w14:paraId="4679D299" w14:textId="77777777" w:rsidR="00C15474" w:rsidRDefault="00C15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73C9" w14:textId="77777777" w:rsidR="00C15474" w:rsidRDefault="00CD5BFE" w:rsidP="00C154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1AB943" w14:textId="77777777" w:rsidR="00C15474" w:rsidRDefault="00C15474" w:rsidP="00C154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A363B" w14:textId="77777777" w:rsidR="00C15474" w:rsidRPr="00BB3C45" w:rsidRDefault="00CD5BFE" w:rsidP="00C15474">
    <w:pPr>
      <w:pStyle w:val="Footer"/>
      <w:tabs>
        <w:tab w:val="center" w:pos="5103"/>
        <w:tab w:val="right" w:pos="10206"/>
      </w:tabs>
    </w:pPr>
    <w:r>
      <w:tab/>
    </w:r>
    <w:r w:rsidRPr="00BB3C45">
      <w:t xml:space="preserve">Page </w:t>
    </w:r>
    <w:r w:rsidRPr="00BB3C45">
      <w:rPr>
        <w:rStyle w:val="PageNumber"/>
      </w:rPr>
      <w:fldChar w:fldCharType="begin"/>
    </w:r>
    <w:r w:rsidRPr="00BB3C45">
      <w:rPr>
        <w:rStyle w:val="PageNumber"/>
      </w:rPr>
      <w:instrText xml:space="preserve"> PAGE </w:instrText>
    </w:r>
    <w:r w:rsidRPr="00BB3C45">
      <w:rPr>
        <w:rStyle w:val="PageNumber"/>
      </w:rPr>
      <w:fldChar w:fldCharType="separate"/>
    </w:r>
    <w:r>
      <w:rPr>
        <w:rStyle w:val="PageNumber"/>
        <w:noProof/>
      </w:rPr>
      <w:t>2</w:t>
    </w:r>
    <w:r w:rsidRPr="00BB3C45">
      <w:rPr>
        <w:rStyle w:val="PageNumber"/>
      </w:rPr>
      <w:fldChar w:fldCharType="end"/>
    </w:r>
    <w:r w:rsidRPr="00BB3C45">
      <w:rPr>
        <w:rStyle w:val="PageNumber"/>
      </w:rPr>
      <w:t xml:space="preserve"> of </w:t>
    </w:r>
    <w:r w:rsidRPr="00BB3C45">
      <w:rPr>
        <w:rStyle w:val="PageNumber"/>
      </w:rPr>
      <w:fldChar w:fldCharType="begin"/>
    </w:r>
    <w:r w:rsidRPr="00BB3C45">
      <w:rPr>
        <w:rStyle w:val="PageNumber"/>
      </w:rPr>
      <w:instrText xml:space="preserve"> NUMPAGES </w:instrText>
    </w:r>
    <w:r w:rsidRPr="00BB3C45">
      <w:rPr>
        <w:rStyle w:val="PageNumber"/>
      </w:rPr>
      <w:fldChar w:fldCharType="separate"/>
    </w:r>
    <w:r>
      <w:rPr>
        <w:rStyle w:val="PageNumber"/>
        <w:noProof/>
      </w:rPr>
      <w:t>1</w:t>
    </w:r>
    <w:r w:rsidRPr="00BB3C4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8D2CE" w14:textId="77777777" w:rsidR="00C15474" w:rsidRDefault="00CD5BFE" w:rsidP="00C15474">
    <w:pPr>
      <w:pStyle w:val="Footer"/>
      <w:tabs>
        <w:tab w:val="center" w:pos="5103"/>
      </w:tabs>
    </w:pPr>
    <w:r>
      <w:tab/>
      <w:t>Page 1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0242C" w14:textId="77777777" w:rsidR="00C15474" w:rsidRDefault="00C15474" w:rsidP="0066223F">
      <w:r>
        <w:separator/>
      </w:r>
    </w:p>
  </w:footnote>
  <w:footnote w:type="continuationSeparator" w:id="0">
    <w:p w14:paraId="772AF95C" w14:textId="77777777" w:rsidR="00C15474" w:rsidRDefault="00C15474" w:rsidP="0066223F">
      <w:r>
        <w:continuationSeparator/>
      </w:r>
    </w:p>
  </w:footnote>
  <w:footnote w:type="continuationNotice" w:id="1">
    <w:p w14:paraId="7E1A7F86" w14:textId="77777777" w:rsidR="00C15474" w:rsidRDefault="00C15474"/>
  </w:footnote>
  <w:footnote w:id="2">
    <w:p w14:paraId="79589D6E" w14:textId="77777777" w:rsidR="00EE70D6" w:rsidRDefault="00EE70D6" w:rsidP="00EE70D6">
      <w:pPr>
        <w:pStyle w:val="FootnoteText"/>
      </w:pPr>
      <w:r>
        <w:t>(</w:t>
      </w:r>
      <w:r>
        <w:rPr>
          <w:rStyle w:val="FootnoteReference"/>
        </w:rPr>
        <w:footnoteRef/>
      </w:r>
      <w:r>
        <w:t>)</w:t>
      </w:r>
      <w:r>
        <w:tab/>
        <w:t>1988 c. 52. There are amendments to section 192 but none is relevant.</w:t>
      </w:r>
    </w:p>
  </w:footnote>
  <w:footnote w:id="3">
    <w:p w14:paraId="579C73DB" w14:textId="77777777" w:rsidR="00EE70D6" w:rsidRDefault="00EE70D6" w:rsidP="00EE70D6">
      <w:pPr>
        <w:pStyle w:val="FootnoteText"/>
      </w:pPr>
      <w:r>
        <w:t>(</w:t>
      </w:r>
      <w:r>
        <w:rPr>
          <w:rStyle w:val="FootnoteReference"/>
        </w:rPr>
        <w:footnoteRef/>
      </w:r>
      <w:r>
        <w:t>)</w:t>
      </w:r>
      <w:r>
        <w:tab/>
        <w:t>OJ No. L 300, 14.11.2009, p. 72.</w:t>
      </w:r>
    </w:p>
  </w:footnote>
  <w:footnote w:id="4">
    <w:p w14:paraId="28156BCE" w14:textId="77777777" w:rsidR="00EE70D6" w:rsidRDefault="00EE70D6" w:rsidP="00EE70D6">
      <w:pPr>
        <w:pStyle w:val="FootnoteText"/>
      </w:pPr>
      <w:r>
        <w:t>(</w:t>
      </w:r>
      <w:r>
        <w:rPr>
          <w:rStyle w:val="FootnoteReference"/>
        </w:rPr>
        <w:footnoteRef/>
      </w:r>
      <w:r>
        <w:t>)</w:t>
      </w:r>
      <w:r>
        <w:tab/>
        <w:t>1981 c. 14. Section 1 was amended by section 139(3) of the Transport Act 1985 (c.67).</w:t>
      </w:r>
    </w:p>
  </w:footnote>
  <w:footnote w:id="5">
    <w:p w14:paraId="58D5901B" w14:textId="77777777" w:rsidR="00EE70D6" w:rsidRDefault="00EE70D6" w:rsidP="00EE70D6">
      <w:pPr>
        <w:pStyle w:val="FootnoteText"/>
      </w:pPr>
      <w:r>
        <w:t>(</w:t>
      </w:r>
      <w:r>
        <w:rPr>
          <w:rStyle w:val="FootnoteReference"/>
        </w:rPr>
        <w:footnoteRef/>
      </w:r>
      <w:r>
        <w:t>)</w:t>
      </w:r>
      <w:r>
        <w:tab/>
        <w:t>OJ No. L 300, 14.11.2009, p. 88–105.</w:t>
      </w:r>
    </w:p>
  </w:footnote>
  <w:footnote w:id="6">
    <w:p w14:paraId="464DB908" w14:textId="77777777" w:rsidR="008D732A" w:rsidRDefault="008D732A" w:rsidP="008D732A">
      <w:pPr>
        <w:pStyle w:val="FootnoteText"/>
      </w:pPr>
      <w:r>
        <w:t>(</w:t>
      </w:r>
      <w:r>
        <w:rPr>
          <w:rStyle w:val="FootnoteReference"/>
        </w:rPr>
        <w:footnoteRef/>
      </w:r>
      <w:r>
        <w:t>)</w:t>
      </w:r>
      <w:r>
        <w:tab/>
        <w:t>S.I. 2014/3120. There are no relevant amending instruments.</w:t>
      </w:r>
    </w:p>
  </w:footnote>
  <w:footnote w:id="7">
    <w:p w14:paraId="2EC04CE9" w14:textId="77777777" w:rsidR="008D732A" w:rsidRDefault="008D732A" w:rsidP="008D732A">
      <w:pPr>
        <w:pStyle w:val="FootnoteText"/>
      </w:pPr>
      <w:r>
        <w:t>(</w:t>
      </w:r>
      <w:r>
        <w:rPr>
          <w:rStyle w:val="FootnoteReference"/>
        </w:rPr>
        <w:footnoteRef/>
      </w:r>
      <w:r>
        <w:t>)</w:t>
      </w:r>
      <w:r>
        <w:tab/>
        <w:t>1986 c. 44. Section 7ZA was inserted by section 149(6) of the Energy Act 2004.</w:t>
      </w:r>
    </w:p>
  </w:footnote>
  <w:footnote w:id="8">
    <w:p w14:paraId="22535ACB" w14:textId="77777777" w:rsidR="008D732A" w:rsidRDefault="008D732A" w:rsidP="008D732A">
      <w:pPr>
        <w:pStyle w:val="FootnoteText"/>
      </w:pPr>
      <w:r>
        <w:t>(</w:t>
      </w:r>
      <w:r>
        <w:rPr>
          <w:rStyle w:val="FootnoteReference"/>
        </w:rPr>
        <w:footnoteRef/>
      </w:r>
      <w:r>
        <w:t>)</w:t>
      </w:r>
      <w:r>
        <w:tab/>
        <w:t>The definition was inserted by S.I. 2011/2704.</w:t>
      </w:r>
    </w:p>
  </w:footnote>
  <w:footnote w:id="9">
    <w:p w14:paraId="72CED08B" w14:textId="77777777" w:rsidR="008D732A" w:rsidRDefault="008D732A" w:rsidP="008D732A">
      <w:pPr>
        <w:pStyle w:val="FootnoteText"/>
      </w:pPr>
      <w:r>
        <w:t>(</w:t>
      </w:r>
      <w:r>
        <w:rPr>
          <w:rStyle w:val="FootnoteReference"/>
        </w:rPr>
        <w:footnoteRef/>
      </w:r>
      <w:r>
        <w:t>)</w:t>
      </w:r>
      <w:r>
        <w:tab/>
        <w:t>1989 c. 29.</w:t>
      </w:r>
    </w:p>
  </w:footnote>
  <w:footnote w:id="10">
    <w:p w14:paraId="03236A8C" w14:textId="77777777" w:rsidR="008D732A" w:rsidRDefault="008D732A" w:rsidP="008D732A">
      <w:pPr>
        <w:pStyle w:val="FootnoteText"/>
      </w:pPr>
      <w:r>
        <w:t>(</w:t>
      </w:r>
      <w:r>
        <w:rPr>
          <w:rStyle w:val="FootnoteReference"/>
        </w:rPr>
        <w:footnoteRef/>
      </w:r>
      <w:r>
        <w:t>)</w:t>
      </w:r>
      <w:r>
        <w:tab/>
        <w:t>1993 c. 43. There are amendments to section 83(1) but none is relevant.</w:t>
      </w:r>
    </w:p>
  </w:footnote>
  <w:footnote w:id="11">
    <w:p w14:paraId="00BB2EB1" w14:textId="77777777" w:rsidR="008D732A" w:rsidRDefault="008D732A" w:rsidP="008D732A">
      <w:pPr>
        <w:pStyle w:val="FootnoteText"/>
      </w:pPr>
      <w:r>
        <w:t>(</w:t>
      </w:r>
      <w:r>
        <w:rPr>
          <w:rStyle w:val="FootnoteReference"/>
        </w:rPr>
        <w:footnoteRef/>
      </w:r>
      <w:r>
        <w:t>)</w:t>
      </w:r>
      <w:r>
        <w:tab/>
        <w:t>The definition of “electricity interconnector” was inserted by section 147(7) of the Energy Act 2004. The definition of “transmission system” was substituted by paragraph 15 of Schedule 19 to the 2004 Act.</w:t>
      </w:r>
    </w:p>
  </w:footnote>
  <w:footnote w:id="12">
    <w:p w14:paraId="0F1FF235" w14:textId="77777777" w:rsidR="00F15AB5" w:rsidRDefault="00F15AB5" w:rsidP="00F15AB5">
      <w:pPr>
        <w:pStyle w:val="FootnoteText"/>
      </w:pPr>
      <w:r>
        <w:t>(</w:t>
      </w:r>
      <w:r>
        <w:rPr>
          <w:rStyle w:val="FootnoteReference"/>
        </w:rPr>
        <w:footnoteRef/>
      </w:r>
      <w:r>
        <w:t>)</w:t>
      </w:r>
      <w:r>
        <w:tab/>
        <w:t>2000 c. 5</w:t>
      </w:r>
    </w:p>
  </w:footnote>
  <w:footnote w:id="13">
    <w:p w14:paraId="579BA6B5" w14:textId="77777777" w:rsidR="00F15AB5" w:rsidRDefault="00F15AB5" w:rsidP="00F15AB5">
      <w:pPr>
        <w:pStyle w:val="FootnoteText"/>
      </w:pPr>
      <w:r>
        <w:t>(</w:t>
      </w:r>
      <w:r>
        <w:rPr>
          <w:rStyle w:val="FootnoteReference"/>
        </w:rPr>
        <w:footnoteRef/>
      </w:r>
      <w:r>
        <w:t>)</w:t>
      </w:r>
      <w:r>
        <w:tab/>
        <w:t>The Nuclear Decommissioning Authority was established by section 1 of the Energy Act 2004.</w:t>
      </w:r>
    </w:p>
  </w:footnote>
  <w:footnote w:id="14">
    <w:p w14:paraId="0957443A" w14:textId="77777777" w:rsidR="00F15AB5" w:rsidRDefault="00F15AB5" w:rsidP="00F15AB5">
      <w:pPr>
        <w:pStyle w:val="FootnoteText"/>
      </w:pPr>
      <w:r>
        <w:t>(</w:t>
      </w:r>
      <w:r>
        <w:rPr>
          <w:rStyle w:val="FootnoteReference"/>
        </w:rPr>
        <w:footnoteRef/>
      </w:r>
      <w:r>
        <w:t>)</w:t>
      </w:r>
      <w:r>
        <w:tab/>
        <w:t>1965 c. 57. Section 1 was substituted by paragraph 17 of Schedule 2 to the Energy Act 2013 (c. 32); by virtue of section 1(2), a licence described in section 1(1) is referred to as a “nuclear site licence”.</w:t>
      </w:r>
    </w:p>
  </w:footnote>
  <w:footnote w:id="15">
    <w:p w14:paraId="73E109B5" w14:textId="77777777" w:rsidR="00F15AB5" w:rsidRDefault="00F15AB5" w:rsidP="00F15AB5">
      <w:pPr>
        <w:pStyle w:val="FootnoteText"/>
      </w:pPr>
      <w:r>
        <w:t>(</w:t>
      </w:r>
      <w:r>
        <w:rPr>
          <w:rStyle w:val="FootnoteReference"/>
        </w:rPr>
        <w:footnoteRef/>
      </w:r>
      <w:r>
        <w:t>)</w:t>
      </w:r>
      <w:r>
        <w:tab/>
        <w:t>1996 c. 6.</w:t>
      </w:r>
    </w:p>
  </w:footnote>
  <w:footnote w:id="16">
    <w:p w14:paraId="1B3E5E24" w14:textId="77777777" w:rsidR="00F15AB5" w:rsidRDefault="00F15AB5" w:rsidP="00F15AB5">
      <w:pPr>
        <w:pStyle w:val="FootnoteText"/>
      </w:pPr>
      <w:r>
        <w:t>(</w:t>
      </w:r>
      <w:r>
        <w:rPr>
          <w:rStyle w:val="FootnoteReference"/>
        </w:rPr>
        <w:footnoteRef/>
      </w:r>
      <w:r>
        <w:t>)</w:t>
      </w:r>
      <w:r>
        <w:tab/>
        <w:t>2018 c. 5.</w:t>
      </w:r>
    </w:p>
  </w:footnote>
  <w:footnote w:id="17">
    <w:p w14:paraId="42AE4872" w14:textId="77777777" w:rsidR="00F15AB5" w:rsidRDefault="00F15AB5" w:rsidP="00F15AB5">
      <w:pPr>
        <w:pStyle w:val="FootnoteText"/>
      </w:pPr>
      <w:r>
        <w:t>(</w:t>
      </w:r>
      <w:r>
        <w:rPr>
          <w:rStyle w:val="FootnoteReference"/>
        </w:rPr>
        <w:footnoteRef/>
      </w:r>
      <w:r>
        <w:t>)</w:t>
      </w:r>
      <w:r>
        <w:tab/>
        <w:t>The Civil Aviation Authority was established under section 1(1) of the Civil Aviation Act 1971 (c.75). That Act was replaced by a consolidating statute, the Civil Aviation Act 1982 (c.16), section 2(1) of which provides for the continued existence of the Civil Aviation Authority. There are amendments to section 2 but none is relevant. The European Union Aviation Safety Agency was established by 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w:t>
      </w:r>
    </w:p>
  </w:footnote>
  <w:footnote w:id="18">
    <w:p w14:paraId="331E0E30" w14:textId="77777777" w:rsidR="00F15AB5" w:rsidRDefault="00F15AB5" w:rsidP="00F15AB5">
      <w:pPr>
        <w:pStyle w:val="FootnoteText"/>
      </w:pPr>
      <w:r>
        <w:t>(</w:t>
      </w:r>
      <w:r>
        <w:rPr>
          <w:rStyle w:val="FootnoteReference"/>
        </w:rPr>
        <w:footnoteRef/>
      </w:r>
      <w:r>
        <w:t>)</w:t>
      </w:r>
      <w:r>
        <w:tab/>
        <w:t>1998 c. 17. Section 44 was amended by paragraph 11 of Schedule 1 to the Energy Act 2008 (32).</w:t>
      </w:r>
    </w:p>
  </w:footnote>
  <w:footnote w:id="19">
    <w:p w14:paraId="231319F0" w14:textId="77777777" w:rsidR="00F15AB5" w:rsidRDefault="00F15AB5" w:rsidP="00F15AB5">
      <w:pPr>
        <w:pStyle w:val="FootnoteText"/>
      </w:pPr>
      <w:r>
        <w:t>(</w:t>
      </w:r>
      <w:r>
        <w:rPr>
          <w:rStyle w:val="FootnoteReference"/>
        </w:rPr>
        <w:footnoteRef/>
      </w:r>
      <w:r>
        <w:t>)</w:t>
      </w:r>
      <w:r>
        <w:tab/>
        <w:t>Section 9H was substituted by section 74(2) of the Energy Act 2016 (c. 20).</w:t>
      </w:r>
    </w:p>
  </w:footnote>
  <w:footnote w:id="20">
    <w:p w14:paraId="2ED6BF24" w14:textId="77777777" w:rsidR="00F15AB5" w:rsidRDefault="00F15AB5" w:rsidP="00F15AB5">
      <w:pPr>
        <w:pStyle w:val="FootnoteText"/>
      </w:pPr>
      <w:r>
        <w:t>(</w:t>
      </w:r>
      <w:r>
        <w:rPr>
          <w:rStyle w:val="FootnoteReference"/>
        </w:rPr>
        <w:footnoteRef/>
      </w:r>
      <w:r>
        <w:t>)</w:t>
      </w:r>
      <w:r>
        <w:tab/>
        <w:t>Section 45A was inserted by section 75(1) of the Energy Act 2008. There are amendments to section 45</w:t>
      </w:r>
      <w:proofErr w:type="gramStart"/>
      <w:r>
        <w:t>A(</w:t>
      </w:r>
      <w:proofErr w:type="gramEnd"/>
      <w:r>
        <w:t>10) but none is relevant.</w:t>
      </w:r>
    </w:p>
  </w:footnote>
  <w:footnote w:id="21">
    <w:p w14:paraId="7F6F8F55" w14:textId="77777777" w:rsidR="00F15AB5" w:rsidRDefault="00F15AB5" w:rsidP="00F15AB5">
      <w:pPr>
        <w:pStyle w:val="FootnoteText"/>
      </w:pPr>
      <w:r>
        <w:t>(</w:t>
      </w:r>
      <w:r>
        <w:rPr>
          <w:rStyle w:val="FootnoteReference"/>
        </w:rPr>
        <w:footnoteRef/>
      </w:r>
      <w:r>
        <w:t>)</w:t>
      </w:r>
      <w:r>
        <w:tab/>
        <w:t>2011 c.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AF613" w14:textId="77777777" w:rsidR="00C15474" w:rsidRPr="00262F55" w:rsidRDefault="00CD5BFE" w:rsidP="00C15474">
    <w:pPr>
      <w:pStyle w:val="Header"/>
      <w:tabs>
        <w:tab w:val="center" w:pos="510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54CB4" w14:textId="77777777" w:rsidR="00C15474" w:rsidRDefault="00CD5BFE" w:rsidP="00C15474">
    <w:pPr>
      <w:pStyle w:val="Header"/>
      <w:tabs>
        <w:tab w:val="center" w:pos="5103"/>
      </w:tabs>
    </w:pPr>
    <w:r>
      <w:rPr>
        <w:noProof/>
      </w:rPr>
      <mc:AlternateContent>
        <mc:Choice Requires="wps">
          <w:drawing>
            <wp:anchor distT="0" distB="0" distL="114300" distR="114300" simplePos="0" relativeHeight="251658240" behindDoc="0" locked="1" layoutInCell="1" allowOverlap="1" wp14:anchorId="1CCA7BA0" wp14:editId="1EF57255">
              <wp:simplePos x="0" y="0"/>
              <wp:positionH relativeFrom="page">
                <wp:posOffset>197485</wp:posOffset>
              </wp:positionH>
              <wp:positionV relativeFrom="page">
                <wp:posOffset>3348990</wp:posOffset>
              </wp:positionV>
              <wp:extent cx="43180" cy="17970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6DA73" w14:textId="77777777" w:rsidR="00C15474" w:rsidRPr="00403957" w:rsidRDefault="00CD5BFE" w:rsidP="00C15474">
                          <w:pPr>
                            <w:rPr>
                              <w:color w:val="808080"/>
                            </w:rPr>
                          </w:pPr>
                          <w:r w:rsidRPr="00403957">
                            <w:rPr>
                              <w:color w:val="80808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A7BA0" id="_x0000_t202" coordsize="21600,21600" o:spt="202" path="m,l,21600r21600,l21600,xe">
              <v:stroke joinstyle="miter"/>
              <v:path gradientshapeok="t" o:connecttype="rect"/>
            </v:shapetype>
            <v:shape id="Text Box 1" o:spid="_x0000_s1026" type="#_x0000_t202" style="position:absolute;margin-left:15.55pt;margin-top:263.7pt;width:3.4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" stroked="f">
              <v:textbox inset="0,0,0,0">
                <w:txbxContent>
                  <w:p w14:paraId="3EF6DA73" w14:textId="77777777" w:rsidR="00C15474" w:rsidRPr="00403957" w:rsidRDefault="00CD5BFE" w:rsidP="00C15474">
                    <w:pPr>
                      <w:rPr>
                        <w:color w:val="808080"/>
                      </w:rPr>
                    </w:pPr>
                    <w:r w:rsidRPr="00403957">
                      <w:rPr>
                        <w:color w:val="808080"/>
                      </w:rPr>
                      <w:t>-</w:t>
                    </w:r>
                  </w:p>
                </w:txbxContent>
              </v:textbox>
              <w10:wrap type="square"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149A0"/>
    <w:multiLevelType w:val="hybridMultilevel"/>
    <w:tmpl w:val="558AE814"/>
    <w:lvl w:ilvl="0" w:tplc="FFD64048">
      <w:start w:val="6"/>
      <w:numFmt w:val="decimal"/>
      <w:lvlText w:val="%1"/>
      <w:lvlJc w:val="left"/>
      <w:pPr>
        <w:ind w:left="530" w:hanging="360"/>
      </w:pPr>
      <w:rPr>
        <w:rFonts w:hint="default"/>
        <w:b/>
        <w:bCs/>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1" w15:restartNumberingAfterBreak="0">
    <w:nsid w:val="3D290B0E"/>
    <w:multiLevelType w:val="hybridMultilevel"/>
    <w:tmpl w:val="FFFFFFFF"/>
    <w:lvl w:ilvl="0" w:tplc="827C3230">
      <w:start w:val="1"/>
      <w:numFmt w:val="decimal"/>
      <w:lvlText w:val="%1."/>
      <w:lvlJc w:val="left"/>
      <w:pPr>
        <w:ind w:left="720" w:hanging="360"/>
      </w:pPr>
    </w:lvl>
    <w:lvl w:ilvl="1" w:tplc="C3D414C0">
      <w:start w:val="1"/>
      <w:numFmt w:val="decimal"/>
      <w:lvlText w:val="%2."/>
      <w:lvlJc w:val="left"/>
      <w:pPr>
        <w:ind w:left="1440" w:hanging="360"/>
      </w:pPr>
    </w:lvl>
    <w:lvl w:ilvl="2" w:tplc="53927066">
      <w:start w:val="1"/>
      <w:numFmt w:val="lowerRoman"/>
      <w:lvlText w:val="%3."/>
      <w:lvlJc w:val="right"/>
      <w:pPr>
        <w:ind w:left="2160" w:hanging="180"/>
      </w:pPr>
    </w:lvl>
    <w:lvl w:ilvl="3" w:tplc="8AD48E18">
      <w:start w:val="1"/>
      <w:numFmt w:val="decimal"/>
      <w:lvlText w:val="%4."/>
      <w:lvlJc w:val="left"/>
      <w:pPr>
        <w:ind w:left="2880" w:hanging="360"/>
      </w:pPr>
    </w:lvl>
    <w:lvl w:ilvl="4" w:tplc="BA887B52">
      <w:start w:val="1"/>
      <w:numFmt w:val="lowerLetter"/>
      <w:lvlText w:val="%5."/>
      <w:lvlJc w:val="left"/>
      <w:pPr>
        <w:ind w:left="3600" w:hanging="360"/>
      </w:pPr>
    </w:lvl>
    <w:lvl w:ilvl="5" w:tplc="557608E2">
      <w:start w:val="1"/>
      <w:numFmt w:val="lowerRoman"/>
      <w:lvlText w:val="%6."/>
      <w:lvlJc w:val="right"/>
      <w:pPr>
        <w:ind w:left="4320" w:hanging="180"/>
      </w:pPr>
    </w:lvl>
    <w:lvl w:ilvl="6" w:tplc="0EE6ED42">
      <w:start w:val="1"/>
      <w:numFmt w:val="decimal"/>
      <w:lvlText w:val="%7."/>
      <w:lvlJc w:val="left"/>
      <w:pPr>
        <w:ind w:left="5040" w:hanging="360"/>
      </w:pPr>
    </w:lvl>
    <w:lvl w:ilvl="7" w:tplc="A5C63B2E">
      <w:start w:val="1"/>
      <w:numFmt w:val="lowerLetter"/>
      <w:lvlText w:val="%8."/>
      <w:lvlJc w:val="left"/>
      <w:pPr>
        <w:ind w:left="5760" w:hanging="360"/>
      </w:pPr>
    </w:lvl>
    <w:lvl w:ilvl="8" w:tplc="C7C677DC">
      <w:start w:val="1"/>
      <w:numFmt w:val="lowerRoman"/>
      <w:lvlText w:val="%9."/>
      <w:lvlJc w:val="right"/>
      <w:pPr>
        <w:ind w:left="6480" w:hanging="180"/>
      </w:pPr>
    </w:lvl>
  </w:abstractNum>
  <w:abstractNum w:abstractNumId="2" w15:restartNumberingAfterBreak="0">
    <w:nsid w:val="62CE42E1"/>
    <w:multiLevelType w:val="multilevel"/>
    <w:tmpl w:val="9000D790"/>
    <w:name w:val="seq1"/>
    <w:lvl w:ilvl="0">
      <w:start w:val="6"/>
      <w:numFmt w:val="decimal"/>
      <w:lvlRestart w:val="0"/>
      <w:pStyle w:val="N1"/>
      <w:suff w:val="nothing"/>
      <w:lvlText w:val="%1."/>
      <w:lvlJc w:val="left"/>
      <w:pPr>
        <w:ind w:left="0" w:firstLine="170"/>
      </w:pPr>
      <w:rPr>
        <w:rFonts w:ascii="Arial" w:hAnsi="Arial" w:cs="Arial" w:hint="default"/>
        <w:b/>
      </w:rPr>
    </w:lvl>
    <w:lvl w:ilvl="1">
      <w:start w:val="1"/>
      <w:numFmt w:val="decimal"/>
      <w:pStyle w:val="N2"/>
      <w:suff w:val="space"/>
      <w:lvlText w:val="(%2)"/>
      <w:lvlJc w:val="left"/>
      <w:pPr>
        <w:ind w:left="0" w:firstLine="170"/>
      </w:pPr>
      <w:rPr>
        <w:rFonts w:hint="default"/>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2"/>
  </w:num>
  <w:num w:numId="3">
    <w:abstractNumId w:val="1"/>
  </w:num>
  <w:num w:numId="4">
    <w:abstractNumId w:val="2"/>
  </w:num>
  <w:num w:numId="5">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startOverride w:val="13"/>
    </w:lvlOverride>
  </w:num>
  <w:num w:numId="9">
    <w:abstractNumId w:val="2"/>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5B"/>
    <w:rsid w:val="000176B3"/>
    <w:rsid w:val="00045C10"/>
    <w:rsid w:val="0006609D"/>
    <w:rsid w:val="00077CCB"/>
    <w:rsid w:val="000A260E"/>
    <w:rsid w:val="000B2B58"/>
    <w:rsid w:val="000B42BB"/>
    <w:rsid w:val="000C15A5"/>
    <w:rsid w:val="000D13DC"/>
    <w:rsid w:val="000D6017"/>
    <w:rsid w:val="000E0978"/>
    <w:rsid w:val="000E5257"/>
    <w:rsid w:val="000E5540"/>
    <w:rsid w:val="000E7FED"/>
    <w:rsid w:val="00104F04"/>
    <w:rsid w:val="001115B7"/>
    <w:rsid w:val="00113392"/>
    <w:rsid w:val="00124731"/>
    <w:rsid w:val="00126338"/>
    <w:rsid w:val="00160580"/>
    <w:rsid w:val="00181A8C"/>
    <w:rsid w:val="001924D5"/>
    <w:rsid w:val="001C709D"/>
    <w:rsid w:val="001D043C"/>
    <w:rsid w:val="001D7A20"/>
    <w:rsid w:val="001E23E8"/>
    <w:rsid w:val="001E2803"/>
    <w:rsid w:val="001E63DC"/>
    <w:rsid w:val="001F29E3"/>
    <w:rsid w:val="001F6354"/>
    <w:rsid w:val="0020614C"/>
    <w:rsid w:val="00211F56"/>
    <w:rsid w:val="0022724D"/>
    <w:rsid w:val="00250531"/>
    <w:rsid w:val="002606D0"/>
    <w:rsid w:val="0026563E"/>
    <w:rsid w:val="00270EF4"/>
    <w:rsid w:val="00271F52"/>
    <w:rsid w:val="0028776B"/>
    <w:rsid w:val="00290E7D"/>
    <w:rsid w:val="002B3779"/>
    <w:rsid w:val="002C4AB7"/>
    <w:rsid w:val="002D4A88"/>
    <w:rsid w:val="002D4C9E"/>
    <w:rsid w:val="002E0036"/>
    <w:rsid w:val="00301B49"/>
    <w:rsid w:val="00304065"/>
    <w:rsid w:val="003078A0"/>
    <w:rsid w:val="00320CE0"/>
    <w:rsid w:val="00334819"/>
    <w:rsid w:val="00351649"/>
    <w:rsid w:val="00351C90"/>
    <w:rsid w:val="0037243B"/>
    <w:rsid w:val="00385293"/>
    <w:rsid w:val="00393316"/>
    <w:rsid w:val="003A688A"/>
    <w:rsid w:val="003C1FCA"/>
    <w:rsid w:val="003C3921"/>
    <w:rsid w:val="003D7A06"/>
    <w:rsid w:val="0041271E"/>
    <w:rsid w:val="00417FA1"/>
    <w:rsid w:val="00423E8D"/>
    <w:rsid w:val="004337C2"/>
    <w:rsid w:val="0043667D"/>
    <w:rsid w:val="00471FC6"/>
    <w:rsid w:val="004805FE"/>
    <w:rsid w:val="0048151E"/>
    <w:rsid w:val="00487DEE"/>
    <w:rsid w:val="004B4C01"/>
    <w:rsid w:val="004B7746"/>
    <w:rsid w:val="004C7793"/>
    <w:rsid w:val="004E04B8"/>
    <w:rsid w:val="004E09D3"/>
    <w:rsid w:val="004E19D3"/>
    <w:rsid w:val="005128F5"/>
    <w:rsid w:val="00537A2B"/>
    <w:rsid w:val="00547A0E"/>
    <w:rsid w:val="005A2D92"/>
    <w:rsid w:val="005A5025"/>
    <w:rsid w:val="005A7CA6"/>
    <w:rsid w:val="005B362C"/>
    <w:rsid w:val="005B68E5"/>
    <w:rsid w:val="005C3C7C"/>
    <w:rsid w:val="005F24FE"/>
    <w:rsid w:val="00621D4D"/>
    <w:rsid w:val="00636E36"/>
    <w:rsid w:val="00653A7F"/>
    <w:rsid w:val="0066223F"/>
    <w:rsid w:val="00681683"/>
    <w:rsid w:val="006825BE"/>
    <w:rsid w:val="00685F4C"/>
    <w:rsid w:val="006B19D9"/>
    <w:rsid w:val="006C2E7F"/>
    <w:rsid w:val="006D0698"/>
    <w:rsid w:val="006E513D"/>
    <w:rsid w:val="006F64A0"/>
    <w:rsid w:val="00705857"/>
    <w:rsid w:val="00715972"/>
    <w:rsid w:val="007235C4"/>
    <w:rsid w:val="00727418"/>
    <w:rsid w:val="00731655"/>
    <w:rsid w:val="0074447E"/>
    <w:rsid w:val="007450CC"/>
    <w:rsid w:val="00757ECD"/>
    <w:rsid w:val="007703CF"/>
    <w:rsid w:val="00787927"/>
    <w:rsid w:val="007B5454"/>
    <w:rsid w:val="007C0377"/>
    <w:rsid w:val="007C0A23"/>
    <w:rsid w:val="007D1213"/>
    <w:rsid w:val="007D6B16"/>
    <w:rsid w:val="007E5886"/>
    <w:rsid w:val="00800DBD"/>
    <w:rsid w:val="008204A6"/>
    <w:rsid w:val="00855F35"/>
    <w:rsid w:val="008651BE"/>
    <w:rsid w:val="0087525A"/>
    <w:rsid w:val="008760EE"/>
    <w:rsid w:val="00887B4D"/>
    <w:rsid w:val="008A2A4D"/>
    <w:rsid w:val="008A5136"/>
    <w:rsid w:val="008B0515"/>
    <w:rsid w:val="008B1AFD"/>
    <w:rsid w:val="008B2523"/>
    <w:rsid w:val="008C2DED"/>
    <w:rsid w:val="008D732A"/>
    <w:rsid w:val="008E7929"/>
    <w:rsid w:val="00911A7F"/>
    <w:rsid w:val="00913364"/>
    <w:rsid w:val="009213D8"/>
    <w:rsid w:val="00922861"/>
    <w:rsid w:val="00935029"/>
    <w:rsid w:val="00935F25"/>
    <w:rsid w:val="00941E79"/>
    <w:rsid w:val="00950AAE"/>
    <w:rsid w:val="00951F18"/>
    <w:rsid w:val="00952339"/>
    <w:rsid w:val="009701D7"/>
    <w:rsid w:val="00981093"/>
    <w:rsid w:val="00986FA1"/>
    <w:rsid w:val="0099380F"/>
    <w:rsid w:val="009B67D8"/>
    <w:rsid w:val="009C36B1"/>
    <w:rsid w:val="009C524F"/>
    <w:rsid w:val="009C5505"/>
    <w:rsid w:val="009E3539"/>
    <w:rsid w:val="009E3705"/>
    <w:rsid w:val="00A114A0"/>
    <w:rsid w:val="00A25AA3"/>
    <w:rsid w:val="00A25AFF"/>
    <w:rsid w:val="00A3005B"/>
    <w:rsid w:val="00A6393A"/>
    <w:rsid w:val="00A92CF8"/>
    <w:rsid w:val="00A96ED6"/>
    <w:rsid w:val="00A97785"/>
    <w:rsid w:val="00AA3145"/>
    <w:rsid w:val="00AB1EF8"/>
    <w:rsid w:val="00AC0BDE"/>
    <w:rsid w:val="00AD72BF"/>
    <w:rsid w:val="00AE0CDC"/>
    <w:rsid w:val="00AE6006"/>
    <w:rsid w:val="00B17403"/>
    <w:rsid w:val="00B22032"/>
    <w:rsid w:val="00B4288C"/>
    <w:rsid w:val="00B54309"/>
    <w:rsid w:val="00B56BD6"/>
    <w:rsid w:val="00B75AEF"/>
    <w:rsid w:val="00B8670F"/>
    <w:rsid w:val="00B93927"/>
    <w:rsid w:val="00BB3603"/>
    <w:rsid w:val="00BB469C"/>
    <w:rsid w:val="00BE15B1"/>
    <w:rsid w:val="00BF75DE"/>
    <w:rsid w:val="00C062D7"/>
    <w:rsid w:val="00C15474"/>
    <w:rsid w:val="00C24411"/>
    <w:rsid w:val="00C273AE"/>
    <w:rsid w:val="00C410A7"/>
    <w:rsid w:val="00C45693"/>
    <w:rsid w:val="00C5190B"/>
    <w:rsid w:val="00C53D33"/>
    <w:rsid w:val="00C54015"/>
    <w:rsid w:val="00C60470"/>
    <w:rsid w:val="00C6652A"/>
    <w:rsid w:val="00C77E63"/>
    <w:rsid w:val="00C83D99"/>
    <w:rsid w:val="00C84F78"/>
    <w:rsid w:val="00CA3CB2"/>
    <w:rsid w:val="00CB6316"/>
    <w:rsid w:val="00CC50B6"/>
    <w:rsid w:val="00CD5BFE"/>
    <w:rsid w:val="00CF42B6"/>
    <w:rsid w:val="00D000E9"/>
    <w:rsid w:val="00D04F91"/>
    <w:rsid w:val="00D05C00"/>
    <w:rsid w:val="00D11652"/>
    <w:rsid w:val="00D53A6D"/>
    <w:rsid w:val="00D5ABC5"/>
    <w:rsid w:val="00D66342"/>
    <w:rsid w:val="00D66ED6"/>
    <w:rsid w:val="00D7009D"/>
    <w:rsid w:val="00D80A79"/>
    <w:rsid w:val="00D832BE"/>
    <w:rsid w:val="00D85370"/>
    <w:rsid w:val="00D9140E"/>
    <w:rsid w:val="00D94432"/>
    <w:rsid w:val="00D95A69"/>
    <w:rsid w:val="00DA00D3"/>
    <w:rsid w:val="00DA2F3C"/>
    <w:rsid w:val="00DB32CC"/>
    <w:rsid w:val="00DC0655"/>
    <w:rsid w:val="00DC0DCF"/>
    <w:rsid w:val="00DE5813"/>
    <w:rsid w:val="00DF410A"/>
    <w:rsid w:val="00DF79A5"/>
    <w:rsid w:val="00E02A55"/>
    <w:rsid w:val="00E348F6"/>
    <w:rsid w:val="00E36B09"/>
    <w:rsid w:val="00E400E4"/>
    <w:rsid w:val="00E50D7B"/>
    <w:rsid w:val="00EA2664"/>
    <w:rsid w:val="00EA3E85"/>
    <w:rsid w:val="00EB3D0A"/>
    <w:rsid w:val="00EB6E78"/>
    <w:rsid w:val="00EB717B"/>
    <w:rsid w:val="00EC047F"/>
    <w:rsid w:val="00ED1B6A"/>
    <w:rsid w:val="00EE29F1"/>
    <w:rsid w:val="00EE70D6"/>
    <w:rsid w:val="00F006C5"/>
    <w:rsid w:val="00F15AB5"/>
    <w:rsid w:val="00F23B6C"/>
    <w:rsid w:val="00F24356"/>
    <w:rsid w:val="00F32111"/>
    <w:rsid w:val="00F453F7"/>
    <w:rsid w:val="00F47645"/>
    <w:rsid w:val="00F67F06"/>
    <w:rsid w:val="00F7486F"/>
    <w:rsid w:val="00F81754"/>
    <w:rsid w:val="00F96073"/>
    <w:rsid w:val="00FB30CE"/>
    <w:rsid w:val="00FD2DC3"/>
    <w:rsid w:val="0533C44A"/>
    <w:rsid w:val="06E8D1A7"/>
    <w:rsid w:val="09E5DBF6"/>
    <w:rsid w:val="0E6CFCEC"/>
    <w:rsid w:val="0F8EBF65"/>
    <w:rsid w:val="116A46D3"/>
    <w:rsid w:val="11E4473C"/>
    <w:rsid w:val="11FFDC75"/>
    <w:rsid w:val="148E1C61"/>
    <w:rsid w:val="17D9582A"/>
    <w:rsid w:val="1B8FF180"/>
    <w:rsid w:val="1CC95573"/>
    <w:rsid w:val="1D1F4198"/>
    <w:rsid w:val="1FD805DE"/>
    <w:rsid w:val="210FB939"/>
    <w:rsid w:val="27BE2682"/>
    <w:rsid w:val="32AACA15"/>
    <w:rsid w:val="35680525"/>
    <w:rsid w:val="37AD15BD"/>
    <w:rsid w:val="38B241C9"/>
    <w:rsid w:val="3B42D31F"/>
    <w:rsid w:val="3E34879C"/>
    <w:rsid w:val="3EA54DAE"/>
    <w:rsid w:val="3EB833A4"/>
    <w:rsid w:val="4040FD74"/>
    <w:rsid w:val="4255D7EF"/>
    <w:rsid w:val="473950C1"/>
    <w:rsid w:val="523D1355"/>
    <w:rsid w:val="534355CA"/>
    <w:rsid w:val="53C24145"/>
    <w:rsid w:val="5897332B"/>
    <w:rsid w:val="5C0F460C"/>
    <w:rsid w:val="60F6F600"/>
    <w:rsid w:val="63EFFF67"/>
    <w:rsid w:val="641EB5A9"/>
    <w:rsid w:val="649B7455"/>
    <w:rsid w:val="65C70E7B"/>
    <w:rsid w:val="660E6471"/>
    <w:rsid w:val="6807AB25"/>
    <w:rsid w:val="681641DF"/>
    <w:rsid w:val="69FA9048"/>
    <w:rsid w:val="69FB7D50"/>
    <w:rsid w:val="6A0749EF"/>
    <w:rsid w:val="6D493DAC"/>
    <w:rsid w:val="713C9103"/>
    <w:rsid w:val="78A02C25"/>
    <w:rsid w:val="7CE16FBC"/>
    <w:rsid w:val="7F623C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3C4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ED6"/>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rmal"/>
    <w:link w:val="FootnoteTextChar"/>
    <w:semiHidden/>
    <w:rsid w:val="0066223F"/>
    <w:pPr>
      <w:spacing w:line="180" w:lineRule="exact"/>
      <w:ind w:left="340" w:hanging="340"/>
      <w:jc w:val="both"/>
    </w:pPr>
    <w:rPr>
      <w:rFonts w:ascii="Times New Roman" w:hAnsi="Times New Roman"/>
      <w:sz w:val="16"/>
      <w:szCs w:val="20"/>
      <w:lang w:eastAsia="en-US"/>
    </w:rPr>
  </w:style>
  <w:style w:type="character" w:customStyle="1" w:styleId="FootnoteTextChar">
    <w:name w:val="Footnote Text Char"/>
    <w:basedOn w:val="DefaultParagraphFont"/>
    <w:link w:val="FootnoteText"/>
    <w:semiHidden/>
    <w:rsid w:val="0066223F"/>
    <w:rPr>
      <w:rFonts w:ascii="Times New Roman" w:eastAsia="Times New Roman" w:hAnsi="Times New Roman" w:cs="Times New Roman"/>
      <w:sz w:val="16"/>
      <w:szCs w:val="20"/>
    </w:rPr>
  </w:style>
  <w:style w:type="character" w:styleId="FootnoteReference">
    <w:name w:val="footnote reference"/>
    <w:semiHidden/>
    <w:rsid w:val="0066223F"/>
    <w:rPr>
      <w:rFonts w:ascii="Times New Roman" w:hAnsi="Times New Roman"/>
      <w:b/>
      <w:vertAlign w:val="baseline"/>
    </w:rPr>
  </w:style>
  <w:style w:type="paragraph" w:customStyle="1" w:styleId="N1">
    <w:name w:val="N1"/>
    <w:basedOn w:val="Normal"/>
    <w:rsid w:val="0066223F"/>
    <w:pPr>
      <w:numPr>
        <w:numId w:val="10"/>
      </w:numPr>
      <w:spacing w:before="160" w:line="220" w:lineRule="atLeast"/>
      <w:jc w:val="both"/>
    </w:pPr>
    <w:rPr>
      <w:rFonts w:ascii="Times New Roman" w:hAnsi="Times New Roman"/>
      <w:sz w:val="21"/>
      <w:szCs w:val="20"/>
      <w:lang w:eastAsia="en-US"/>
    </w:rPr>
  </w:style>
  <w:style w:type="paragraph" w:customStyle="1" w:styleId="N2">
    <w:name w:val="N2"/>
    <w:basedOn w:val="N1"/>
    <w:rsid w:val="0066223F"/>
    <w:pPr>
      <w:numPr>
        <w:ilvl w:val="1"/>
      </w:numPr>
      <w:spacing w:before="80"/>
    </w:pPr>
  </w:style>
  <w:style w:type="paragraph" w:customStyle="1" w:styleId="N3">
    <w:name w:val="N3"/>
    <w:basedOn w:val="N2"/>
    <w:rsid w:val="0066223F"/>
    <w:pPr>
      <w:numPr>
        <w:ilvl w:val="2"/>
      </w:numPr>
    </w:pPr>
  </w:style>
  <w:style w:type="paragraph" w:customStyle="1" w:styleId="N4">
    <w:name w:val="N4"/>
    <w:basedOn w:val="N3"/>
    <w:rsid w:val="0066223F"/>
    <w:pPr>
      <w:numPr>
        <w:ilvl w:val="3"/>
      </w:numPr>
    </w:pPr>
  </w:style>
  <w:style w:type="paragraph" w:customStyle="1" w:styleId="N5">
    <w:name w:val="N5"/>
    <w:basedOn w:val="N4"/>
    <w:rsid w:val="0066223F"/>
    <w:pPr>
      <w:numPr>
        <w:ilvl w:val="4"/>
      </w:numPr>
    </w:pPr>
  </w:style>
  <w:style w:type="paragraph" w:customStyle="1" w:styleId="T2">
    <w:name w:val="T2"/>
    <w:basedOn w:val="Normal"/>
    <w:rsid w:val="0066223F"/>
    <w:pPr>
      <w:spacing w:before="80" w:line="220" w:lineRule="atLeast"/>
      <w:jc w:val="both"/>
    </w:pPr>
    <w:rPr>
      <w:rFonts w:ascii="Times New Roman" w:hAnsi="Times New Roman"/>
      <w:sz w:val="21"/>
      <w:szCs w:val="20"/>
      <w:lang w:eastAsia="en-US"/>
    </w:rPr>
  </w:style>
  <w:style w:type="character" w:styleId="CommentReference">
    <w:name w:val="annotation reference"/>
    <w:basedOn w:val="DefaultParagraphFont"/>
    <w:semiHidden/>
    <w:unhideWhenUsed/>
    <w:rsid w:val="008C2DED"/>
    <w:rPr>
      <w:sz w:val="16"/>
      <w:szCs w:val="16"/>
    </w:rPr>
  </w:style>
  <w:style w:type="paragraph" w:styleId="CommentText">
    <w:name w:val="annotation text"/>
    <w:basedOn w:val="Normal"/>
    <w:link w:val="CommentTextChar"/>
    <w:semiHidden/>
    <w:unhideWhenUsed/>
    <w:rsid w:val="008C2DED"/>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semiHidden/>
    <w:rsid w:val="008C2DED"/>
    <w:rPr>
      <w:sz w:val="20"/>
      <w:szCs w:val="20"/>
    </w:rPr>
  </w:style>
  <w:style w:type="paragraph" w:styleId="CommentSubject">
    <w:name w:val="annotation subject"/>
    <w:basedOn w:val="CommentText"/>
    <w:next w:val="CommentText"/>
    <w:link w:val="CommentSubjectChar"/>
    <w:uiPriority w:val="99"/>
    <w:semiHidden/>
    <w:unhideWhenUsed/>
    <w:rsid w:val="008C2DED"/>
    <w:rPr>
      <w:b/>
      <w:bCs/>
    </w:rPr>
  </w:style>
  <w:style w:type="character" w:customStyle="1" w:styleId="CommentSubjectChar">
    <w:name w:val="Comment Subject Char"/>
    <w:basedOn w:val="CommentTextChar"/>
    <w:link w:val="CommentSubject"/>
    <w:uiPriority w:val="99"/>
    <w:semiHidden/>
    <w:rsid w:val="008C2DED"/>
    <w:rPr>
      <w:b/>
      <w:bCs/>
      <w:sz w:val="20"/>
      <w:szCs w:val="20"/>
    </w:rPr>
  </w:style>
  <w:style w:type="paragraph" w:styleId="BalloonText">
    <w:name w:val="Balloon Text"/>
    <w:basedOn w:val="Normal"/>
    <w:link w:val="BalloonTextChar"/>
    <w:uiPriority w:val="99"/>
    <w:semiHidden/>
    <w:unhideWhenUsed/>
    <w:rsid w:val="008C2DED"/>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8C2DED"/>
    <w:rPr>
      <w:rFonts w:ascii="Segoe UI" w:hAnsi="Segoe UI" w:cs="Segoe UI"/>
      <w:sz w:val="18"/>
      <w:szCs w:val="18"/>
    </w:rPr>
  </w:style>
  <w:style w:type="paragraph" w:styleId="Header">
    <w:name w:val="header"/>
    <w:basedOn w:val="Normal"/>
    <w:link w:val="HeaderChar"/>
    <w:unhideWhenUsed/>
    <w:rsid w:val="00BB3603"/>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BB3603"/>
  </w:style>
  <w:style w:type="paragraph" w:styleId="Footer">
    <w:name w:val="footer"/>
    <w:basedOn w:val="Normal"/>
    <w:link w:val="FooterChar"/>
    <w:unhideWhenUsed/>
    <w:rsid w:val="00BB3603"/>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BB3603"/>
  </w:style>
  <w:style w:type="character" w:styleId="PageNumber">
    <w:name w:val="page number"/>
    <w:rsid w:val="00D66ED6"/>
    <w:rPr>
      <w:rFonts w:ascii="Arial" w:hAnsi="Arial" w:cs="Times New Roman"/>
      <w:sz w:val="20"/>
    </w:rPr>
  </w:style>
  <w:style w:type="paragraph" w:customStyle="1" w:styleId="address">
    <w:name w:val="address"/>
    <w:basedOn w:val="Normal"/>
    <w:rsid w:val="00D66ED6"/>
    <w:rPr>
      <w:sz w:val="16"/>
    </w:rPr>
  </w:style>
  <w:style w:type="character" w:styleId="Hyperlink">
    <w:name w:val="Hyperlink"/>
    <w:rsid w:val="00D66ED6"/>
    <w:rPr>
      <w:rFonts w:cs="Times New Roman"/>
      <w:color w:val="0000FF"/>
      <w:u w:val="single"/>
    </w:rPr>
  </w:style>
  <w:style w:type="character" w:customStyle="1" w:styleId="normaltextrun">
    <w:name w:val="normaltextrun"/>
    <w:basedOn w:val="DefaultParagraphFont"/>
    <w:rsid w:val="00A25AFF"/>
  </w:style>
  <w:style w:type="character" w:customStyle="1" w:styleId="eop">
    <w:name w:val="eop"/>
    <w:basedOn w:val="DefaultParagraphFont"/>
    <w:rsid w:val="00A25AFF"/>
  </w:style>
  <w:style w:type="paragraph" w:customStyle="1" w:styleId="paragraph">
    <w:name w:val="paragraph"/>
    <w:basedOn w:val="Normal"/>
    <w:rsid w:val="00250531"/>
    <w:pPr>
      <w:spacing w:before="100" w:beforeAutospacing="1" w:after="100" w:afterAutospacing="1"/>
    </w:pPr>
    <w:rPr>
      <w:rFonts w:ascii="Times New Roman" w:hAnsi="Times New Roman"/>
      <w:sz w:val="24"/>
    </w:rPr>
  </w:style>
  <w:style w:type="character" w:customStyle="1" w:styleId="textrun">
    <w:name w:val="textrun"/>
    <w:basedOn w:val="DefaultParagraphFont"/>
    <w:rsid w:val="00250531"/>
  </w:style>
  <w:style w:type="character" w:customStyle="1" w:styleId="contextualspellingandgrammarerror">
    <w:name w:val="contextualspellingandgrammarerror"/>
    <w:basedOn w:val="DefaultParagraphFont"/>
    <w:rsid w:val="00250531"/>
  </w:style>
  <w:style w:type="paragraph" w:styleId="ListParagraph">
    <w:name w:val="List Paragraph"/>
    <w:basedOn w:val="Normal"/>
    <w:uiPriority w:val="34"/>
    <w:qFormat/>
    <w:rsid w:val="000E0978"/>
    <w:pPr>
      <w:ind w:left="720"/>
      <w:contextualSpacing/>
    </w:pPr>
  </w:style>
  <w:style w:type="character" w:styleId="UnresolvedMention">
    <w:name w:val="Unresolved Mention"/>
    <w:basedOn w:val="DefaultParagraphFont"/>
    <w:uiPriority w:val="99"/>
    <w:semiHidden/>
    <w:unhideWhenUsed/>
    <w:rsid w:val="00265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89984">
      <w:bodyDiv w:val="1"/>
      <w:marLeft w:val="0"/>
      <w:marRight w:val="0"/>
      <w:marTop w:val="0"/>
      <w:marBottom w:val="0"/>
      <w:divBdr>
        <w:top w:val="none" w:sz="0" w:space="0" w:color="auto"/>
        <w:left w:val="none" w:sz="0" w:space="0" w:color="auto"/>
        <w:bottom w:val="none" w:sz="0" w:space="0" w:color="auto"/>
        <w:right w:val="none" w:sz="0" w:space="0" w:color="auto"/>
      </w:divBdr>
    </w:div>
    <w:div w:id="96024134">
      <w:bodyDiv w:val="1"/>
      <w:marLeft w:val="0"/>
      <w:marRight w:val="0"/>
      <w:marTop w:val="0"/>
      <w:marBottom w:val="0"/>
      <w:divBdr>
        <w:top w:val="none" w:sz="0" w:space="0" w:color="auto"/>
        <w:left w:val="none" w:sz="0" w:space="0" w:color="auto"/>
        <w:bottom w:val="none" w:sz="0" w:space="0" w:color="auto"/>
        <w:right w:val="none" w:sz="0" w:space="0" w:color="auto"/>
      </w:divBdr>
    </w:div>
    <w:div w:id="120928333">
      <w:bodyDiv w:val="1"/>
      <w:marLeft w:val="0"/>
      <w:marRight w:val="0"/>
      <w:marTop w:val="0"/>
      <w:marBottom w:val="0"/>
      <w:divBdr>
        <w:top w:val="none" w:sz="0" w:space="0" w:color="auto"/>
        <w:left w:val="none" w:sz="0" w:space="0" w:color="auto"/>
        <w:bottom w:val="none" w:sz="0" w:space="0" w:color="auto"/>
        <w:right w:val="none" w:sz="0" w:space="0" w:color="auto"/>
      </w:divBdr>
    </w:div>
    <w:div w:id="585067344">
      <w:bodyDiv w:val="1"/>
      <w:marLeft w:val="0"/>
      <w:marRight w:val="0"/>
      <w:marTop w:val="0"/>
      <w:marBottom w:val="0"/>
      <w:divBdr>
        <w:top w:val="none" w:sz="0" w:space="0" w:color="auto"/>
        <w:left w:val="none" w:sz="0" w:space="0" w:color="auto"/>
        <w:bottom w:val="none" w:sz="0" w:space="0" w:color="auto"/>
        <w:right w:val="none" w:sz="0" w:space="0" w:color="auto"/>
      </w:divBdr>
    </w:div>
    <w:div w:id="716976332">
      <w:bodyDiv w:val="1"/>
      <w:marLeft w:val="0"/>
      <w:marRight w:val="0"/>
      <w:marTop w:val="0"/>
      <w:marBottom w:val="0"/>
      <w:divBdr>
        <w:top w:val="none" w:sz="0" w:space="0" w:color="auto"/>
        <w:left w:val="none" w:sz="0" w:space="0" w:color="auto"/>
        <w:bottom w:val="none" w:sz="0" w:space="0" w:color="auto"/>
        <w:right w:val="none" w:sz="0" w:space="0" w:color="auto"/>
      </w:divBdr>
    </w:div>
    <w:div w:id="754208406">
      <w:bodyDiv w:val="1"/>
      <w:marLeft w:val="0"/>
      <w:marRight w:val="0"/>
      <w:marTop w:val="0"/>
      <w:marBottom w:val="0"/>
      <w:divBdr>
        <w:top w:val="none" w:sz="0" w:space="0" w:color="auto"/>
        <w:left w:val="none" w:sz="0" w:space="0" w:color="auto"/>
        <w:bottom w:val="none" w:sz="0" w:space="0" w:color="auto"/>
        <w:right w:val="none" w:sz="0" w:space="0" w:color="auto"/>
      </w:divBdr>
    </w:div>
    <w:div w:id="1347367503">
      <w:bodyDiv w:val="1"/>
      <w:marLeft w:val="0"/>
      <w:marRight w:val="0"/>
      <w:marTop w:val="0"/>
      <w:marBottom w:val="0"/>
      <w:divBdr>
        <w:top w:val="none" w:sz="0" w:space="0" w:color="auto"/>
        <w:left w:val="none" w:sz="0" w:space="0" w:color="auto"/>
        <w:bottom w:val="none" w:sz="0" w:space="0" w:color="auto"/>
        <w:right w:val="none" w:sz="0" w:space="0" w:color="auto"/>
      </w:divBdr>
    </w:div>
    <w:div w:id="1584995880">
      <w:bodyDiv w:val="1"/>
      <w:marLeft w:val="0"/>
      <w:marRight w:val="0"/>
      <w:marTop w:val="0"/>
      <w:marBottom w:val="0"/>
      <w:divBdr>
        <w:top w:val="none" w:sz="0" w:space="0" w:color="auto"/>
        <w:left w:val="none" w:sz="0" w:space="0" w:color="auto"/>
        <w:bottom w:val="none" w:sz="0" w:space="0" w:color="auto"/>
        <w:right w:val="none" w:sz="0" w:space="0" w:color="auto"/>
      </w:divBdr>
    </w:div>
    <w:div w:id="1839271965">
      <w:bodyDiv w:val="1"/>
      <w:marLeft w:val="0"/>
      <w:marRight w:val="0"/>
      <w:marTop w:val="0"/>
      <w:marBottom w:val="0"/>
      <w:divBdr>
        <w:top w:val="none" w:sz="0" w:space="0" w:color="auto"/>
        <w:left w:val="none" w:sz="0" w:space="0" w:color="auto"/>
        <w:bottom w:val="none" w:sz="0" w:space="0" w:color="auto"/>
        <w:right w:val="none" w:sz="0" w:space="0" w:color="auto"/>
      </w:divBdr>
      <w:divsChild>
        <w:div w:id="77409254">
          <w:marLeft w:val="0"/>
          <w:marRight w:val="0"/>
          <w:marTop w:val="0"/>
          <w:marBottom w:val="0"/>
          <w:divBdr>
            <w:top w:val="none" w:sz="0" w:space="0" w:color="auto"/>
            <w:left w:val="none" w:sz="0" w:space="0" w:color="auto"/>
            <w:bottom w:val="none" w:sz="0" w:space="0" w:color="auto"/>
            <w:right w:val="none" w:sz="0" w:space="0" w:color="auto"/>
          </w:divBdr>
        </w:div>
        <w:div w:id="213859703">
          <w:marLeft w:val="0"/>
          <w:marRight w:val="0"/>
          <w:marTop w:val="0"/>
          <w:marBottom w:val="0"/>
          <w:divBdr>
            <w:top w:val="none" w:sz="0" w:space="0" w:color="auto"/>
            <w:left w:val="none" w:sz="0" w:space="0" w:color="auto"/>
            <w:bottom w:val="none" w:sz="0" w:space="0" w:color="auto"/>
            <w:right w:val="none" w:sz="0" w:space="0" w:color="auto"/>
          </w:divBdr>
        </w:div>
        <w:div w:id="334069347">
          <w:marLeft w:val="0"/>
          <w:marRight w:val="0"/>
          <w:marTop w:val="0"/>
          <w:marBottom w:val="0"/>
          <w:divBdr>
            <w:top w:val="none" w:sz="0" w:space="0" w:color="auto"/>
            <w:left w:val="none" w:sz="0" w:space="0" w:color="auto"/>
            <w:bottom w:val="none" w:sz="0" w:space="0" w:color="auto"/>
            <w:right w:val="none" w:sz="0" w:space="0" w:color="auto"/>
          </w:divBdr>
        </w:div>
        <w:div w:id="385573218">
          <w:marLeft w:val="0"/>
          <w:marRight w:val="0"/>
          <w:marTop w:val="0"/>
          <w:marBottom w:val="0"/>
          <w:divBdr>
            <w:top w:val="none" w:sz="0" w:space="0" w:color="auto"/>
            <w:left w:val="none" w:sz="0" w:space="0" w:color="auto"/>
            <w:bottom w:val="none" w:sz="0" w:space="0" w:color="auto"/>
            <w:right w:val="none" w:sz="0" w:space="0" w:color="auto"/>
          </w:divBdr>
        </w:div>
        <w:div w:id="415521173">
          <w:marLeft w:val="0"/>
          <w:marRight w:val="0"/>
          <w:marTop w:val="0"/>
          <w:marBottom w:val="0"/>
          <w:divBdr>
            <w:top w:val="none" w:sz="0" w:space="0" w:color="auto"/>
            <w:left w:val="none" w:sz="0" w:space="0" w:color="auto"/>
            <w:bottom w:val="none" w:sz="0" w:space="0" w:color="auto"/>
            <w:right w:val="none" w:sz="0" w:space="0" w:color="auto"/>
          </w:divBdr>
        </w:div>
        <w:div w:id="608585860">
          <w:marLeft w:val="0"/>
          <w:marRight w:val="0"/>
          <w:marTop w:val="0"/>
          <w:marBottom w:val="0"/>
          <w:divBdr>
            <w:top w:val="none" w:sz="0" w:space="0" w:color="auto"/>
            <w:left w:val="none" w:sz="0" w:space="0" w:color="auto"/>
            <w:bottom w:val="none" w:sz="0" w:space="0" w:color="auto"/>
            <w:right w:val="none" w:sz="0" w:space="0" w:color="auto"/>
          </w:divBdr>
        </w:div>
        <w:div w:id="652754640">
          <w:marLeft w:val="0"/>
          <w:marRight w:val="0"/>
          <w:marTop w:val="0"/>
          <w:marBottom w:val="0"/>
          <w:divBdr>
            <w:top w:val="none" w:sz="0" w:space="0" w:color="auto"/>
            <w:left w:val="none" w:sz="0" w:space="0" w:color="auto"/>
            <w:bottom w:val="none" w:sz="0" w:space="0" w:color="auto"/>
            <w:right w:val="none" w:sz="0" w:space="0" w:color="auto"/>
          </w:divBdr>
        </w:div>
        <w:div w:id="898976806">
          <w:marLeft w:val="0"/>
          <w:marRight w:val="0"/>
          <w:marTop w:val="0"/>
          <w:marBottom w:val="0"/>
          <w:divBdr>
            <w:top w:val="none" w:sz="0" w:space="0" w:color="auto"/>
            <w:left w:val="none" w:sz="0" w:space="0" w:color="auto"/>
            <w:bottom w:val="none" w:sz="0" w:space="0" w:color="auto"/>
            <w:right w:val="none" w:sz="0" w:space="0" w:color="auto"/>
          </w:divBdr>
        </w:div>
        <w:div w:id="974070321">
          <w:marLeft w:val="0"/>
          <w:marRight w:val="0"/>
          <w:marTop w:val="0"/>
          <w:marBottom w:val="0"/>
          <w:divBdr>
            <w:top w:val="none" w:sz="0" w:space="0" w:color="auto"/>
            <w:left w:val="none" w:sz="0" w:space="0" w:color="auto"/>
            <w:bottom w:val="none" w:sz="0" w:space="0" w:color="auto"/>
            <w:right w:val="none" w:sz="0" w:space="0" w:color="auto"/>
          </w:divBdr>
        </w:div>
        <w:div w:id="998774942">
          <w:marLeft w:val="0"/>
          <w:marRight w:val="0"/>
          <w:marTop w:val="0"/>
          <w:marBottom w:val="0"/>
          <w:divBdr>
            <w:top w:val="none" w:sz="0" w:space="0" w:color="auto"/>
            <w:left w:val="none" w:sz="0" w:space="0" w:color="auto"/>
            <w:bottom w:val="none" w:sz="0" w:space="0" w:color="auto"/>
            <w:right w:val="none" w:sz="0" w:space="0" w:color="auto"/>
          </w:divBdr>
        </w:div>
        <w:div w:id="1054231023">
          <w:marLeft w:val="0"/>
          <w:marRight w:val="0"/>
          <w:marTop w:val="0"/>
          <w:marBottom w:val="0"/>
          <w:divBdr>
            <w:top w:val="none" w:sz="0" w:space="0" w:color="auto"/>
            <w:left w:val="none" w:sz="0" w:space="0" w:color="auto"/>
            <w:bottom w:val="none" w:sz="0" w:space="0" w:color="auto"/>
            <w:right w:val="none" w:sz="0" w:space="0" w:color="auto"/>
          </w:divBdr>
        </w:div>
        <w:div w:id="1328480585">
          <w:marLeft w:val="0"/>
          <w:marRight w:val="0"/>
          <w:marTop w:val="0"/>
          <w:marBottom w:val="0"/>
          <w:divBdr>
            <w:top w:val="none" w:sz="0" w:space="0" w:color="auto"/>
            <w:left w:val="none" w:sz="0" w:space="0" w:color="auto"/>
            <w:bottom w:val="none" w:sz="0" w:space="0" w:color="auto"/>
            <w:right w:val="none" w:sz="0" w:space="0" w:color="auto"/>
          </w:divBdr>
        </w:div>
        <w:div w:id="1385713460">
          <w:marLeft w:val="0"/>
          <w:marRight w:val="0"/>
          <w:marTop w:val="0"/>
          <w:marBottom w:val="0"/>
          <w:divBdr>
            <w:top w:val="none" w:sz="0" w:space="0" w:color="auto"/>
            <w:left w:val="none" w:sz="0" w:space="0" w:color="auto"/>
            <w:bottom w:val="none" w:sz="0" w:space="0" w:color="auto"/>
            <w:right w:val="none" w:sz="0" w:space="0" w:color="auto"/>
          </w:divBdr>
        </w:div>
        <w:div w:id="1466198310">
          <w:marLeft w:val="0"/>
          <w:marRight w:val="0"/>
          <w:marTop w:val="0"/>
          <w:marBottom w:val="0"/>
          <w:divBdr>
            <w:top w:val="none" w:sz="0" w:space="0" w:color="auto"/>
            <w:left w:val="none" w:sz="0" w:space="0" w:color="auto"/>
            <w:bottom w:val="none" w:sz="0" w:space="0" w:color="auto"/>
            <w:right w:val="none" w:sz="0" w:space="0" w:color="auto"/>
          </w:divBdr>
        </w:div>
        <w:div w:id="1525630306">
          <w:marLeft w:val="0"/>
          <w:marRight w:val="0"/>
          <w:marTop w:val="0"/>
          <w:marBottom w:val="0"/>
          <w:divBdr>
            <w:top w:val="none" w:sz="0" w:space="0" w:color="auto"/>
            <w:left w:val="none" w:sz="0" w:space="0" w:color="auto"/>
            <w:bottom w:val="none" w:sz="0" w:space="0" w:color="auto"/>
            <w:right w:val="none" w:sz="0" w:space="0" w:color="auto"/>
          </w:divBdr>
        </w:div>
        <w:div w:id="1655183858">
          <w:marLeft w:val="0"/>
          <w:marRight w:val="0"/>
          <w:marTop w:val="0"/>
          <w:marBottom w:val="0"/>
          <w:divBdr>
            <w:top w:val="none" w:sz="0" w:space="0" w:color="auto"/>
            <w:left w:val="none" w:sz="0" w:space="0" w:color="auto"/>
            <w:bottom w:val="none" w:sz="0" w:space="0" w:color="auto"/>
            <w:right w:val="none" w:sz="0" w:space="0" w:color="auto"/>
          </w:divBdr>
        </w:div>
        <w:div w:id="1695183956">
          <w:marLeft w:val="0"/>
          <w:marRight w:val="0"/>
          <w:marTop w:val="0"/>
          <w:marBottom w:val="0"/>
          <w:divBdr>
            <w:top w:val="none" w:sz="0" w:space="0" w:color="auto"/>
            <w:left w:val="none" w:sz="0" w:space="0" w:color="auto"/>
            <w:bottom w:val="none" w:sz="0" w:space="0" w:color="auto"/>
            <w:right w:val="none" w:sz="0" w:space="0" w:color="auto"/>
          </w:divBdr>
        </w:div>
        <w:div w:id="1772318610">
          <w:marLeft w:val="0"/>
          <w:marRight w:val="0"/>
          <w:marTop w:val="0"/>
          <w:marBottom w:val="0"/>
          <w:divBdr>
            <w:top w:val="none" w:sz="0" w:space="0" w:color="auto"/>
            <w:left w:val="none" w:sz="0" w:space="0" w:color="auto"/>
            <w:bottom w:val="none" w:sz="0" w:space="0" w:color="auto"/>
            <w:right w:val="none" w:sz="0" w:space="0" w:color="auto"/>
          </w:divBdr>
        </w:div>
        <w:div w:id="1787507651">
          <w:marLeft w:val="0"/>
          <w:marRight w:val="0"/>
          <w:marTop w:val="0"/>
          <w:marBottom w:val="0"/>
          <w:divBdr>
            <w:top w:val="none" w:sz="0" w:space="0" w:color="auto"/>
            <w:left w:val="none" w:sz="0" w:space="0" w:color="auto"/>
            <w:bottom w:val="none" w:sz="0" w:space="0" w:color="auto"/>
            <w:right w:val="none" w:sz="0" w:space="0" w:color="auto"/>
          </w:divBdr>
        </w:div>
        <w:div w:id="1829050192">
          <w:marLeft w:val="0"/>
          <w:marRight w:val="0"/>
          <w:marTop w:val="0"/>
          <w:marBottom w:val="0"/>
          <w:divBdr>
            <w:top w:val="none" w:sz="0" w:space="0" w:color="auto"/>
            <w:left w:val="none" w:sz="0" w:space="0" w:color="auto"/>
            <w:bottom w:val="none" w:sz="0" w:space="0" w:color="auto"/>
            <w:right w:val="none" w:sz="0" w:space="0" w:color="auto"/>
          </w:divBdr>
        </w:div>
      </w:divsChild>
    </w:div>
    <w:div w:id="1880776463">
      <w:bodyDiv w:val="1"/>
      <w:marLeft w:val="0"/>
      <w:marRight w:val="0"/>
      <w:marTop w:val="0"/>
      <w:marBottom w:val="0"/>
      <w:divBdr>
        <w:top w:val="none" w:sz="0" w:space="0" w:color="auto"/>
        <w:left w:val="none" w:sz="0" w:space="0" w:color="auto"/>
        <w:bottom w:val="none" w:sz="0" w:space="0" w:color="auto"/>
        <w:right w:val="none" w:sz="0" w:space="0" w:color="auto"/>
      </w:divBdr>
    </w:div>
    <w:div w:id="2046713813">
      <w:bodyDiv w:val="1"/>
      <w:marLeft w:val="0"/>
      <w:marRight w:val="0"/>
      <w:marTop w:val="0"/>
      <w:marBottom w:val="0"/>
      <w:divBdr>
        <w:top w:val="none" w:sz="0" w:space="0" w:color="auto"/>
        <w:left w:val="none" w:sz="0" w:space="0" w:color="auto"/>
        <w:bottom w:val="none" w:sz="0" w:space="0" w:color="auto"/>
        <w:right w:val="none" w:sz="0" w:space="0" w:color="auto"/>
      </w:divBdr>
    </w:div>
    <w:div w:id="2051373665">
      <w:bodyDiv w:val="1"/>
      <w:marLeft w:val="0"/>
      <w:marRight w:val="0"/>
      <w:marTop w:val="0"/>
      <w:marBottom w:val="0"/>
      <w:divBdr>
        <w:top w:val="none" w:sz="0" w:space="0" w:color="auto"/>
        <w:left w:val="none" w:sz="0" w:space="0" w:color="auto"/>
        <w:bottom w:val="none" w:sz="0" w:space="0" w:color="auto"/>
        <w:right w:val="none" w:sz="0" w:space="0" w:color="auto"/>
      </w:divBdr>
      <w:divsChild>
        <w:div w:id="44331299">
          <w:marLeft w:val="0"/>
          <w:marRight w:val="0"/>
          <w:marTop w:val="0"/>
          <w:marBottom w:val="0"/>
          <w:divBdr>
            <w:top w:val="none" w:sz="0" w:space="0" w:color="auto"/>
            <w:left w:val="none" w:sz="0" w:space="0" w:color="auto"/>
            <w:bottom w:val="none" w:sz="0" w:space="0" w:color="auto"/>
            <w:right w:val="none" w:sz="0" w:space="0" w:color="auto"/>
          </w:divBdr>
        </w:div>
        <w:div w:id="45303641">
          <w:marLeft w:val="0"/>
          <w:marRight w:val="0"/>
          <w:marTop w:val="0"/>
          <w:marBottom w:val="0"/>
          <w:divBdr>
            <w:top w:val="none" w:sz="0" w:space="0" w:color="auto"/>
            <w:left w:val="none" w:sz="0" w:space="0" w:color="auto"/>
            <w:bottom w:val="none" w:sz="0" w:space="0" w:color="auto"/>
            <w:right w:val="none" w:sz="0" w:space="0" w:color="auto"/>
          </w:divBdr>
        </w:div>
        <w:div w:id="490753282">
          <w:marLeft w:val="0"/>
          <w:marRight w:val="0"/>
          <w:marTop w:val="0"/>
          <w:marBottom w:val="0"/>
          <w:divBdr>
            <w:top w:val="none" w:sz="0" w:space="0" w:color="auto"/>
            <w:left w:val="none" w:sz="0" w:space="0" w:color="auto"/>
            <w:bottom w:val="none" w:sz="0" w:space="0" w:color="auto"/>
            <w:right w:val="none" w:sz="0" w:space="0" w:color="auto"/>
          </w:divBdr>
        </w:div>
        <w:div w:id="514077388">
          <w:marLeft w:val="0"/>
          <w:marRight w:val="0"/>
          <w:marTop w:val="0"/>
          <w:marBottom w:val="0"/>
          <w:divBdr>
            <w:top w:val="none" w:sz="0" w:space="0" w:color="auto"/>
            <w:left w:val="none" w:sz="0" w:space="0" w:color="auto"/>
            <w:bottom w:val="none" w:sz="0" w:space="0" w:color="auto"/>
            <w:right w:val="none" w:sz="0" w:space="0" w:color="auto"/>
          </w:divBdr>
        </w:div>
        <w:div w:id="524101374">
          <w:marLeft w:val="0"/>
          <w:marRight w:val="0"/>
          <w:marTop w:val="0"/>
          <w:marBottom w:val="0"/>
          <w:divBdr>
            <w:top w:val="none" w:sz="0" w:space="0" w:color="auto"/>
            <w:left w:val="none" w:sz="0" w:space="0" w:color="auto"/>
            <w:bottom w:val="none" w:sz="0" w:space="0" w:color="auto"/>
            <w:right w:val="none" w:sz="0" w:space="0" w:color="auto"/>
          </w:divBdr>
        </w:div>
        <w:div w:id="651372986">
          <w:marLeft w:val="0"/>
          <w:marRight w:val="0"/>
          <w:marTop w:val="0"/>
          <w:marBottom w:val="0"/>
          <w:divBdr>
            <w:top w:val="none" w:sz="0" w:space="0" w:color="auto"/>
            <w:left w:val="none" w:sz="0" w:space="0" w:color="auto"/>
            <w:bottom w:val="none" w:sz="0" w:space="0" w:color="auto"/>
            <w:right w:val="none" w:sz="0" w:space="0" w:color="auto"/>
          </w:divBdr>
        </w:div>
        <w:div w:id="812598172">
          <w:marLeft w:val="0"/>
          <w:marRight w:val="0"/>
          <w:marTop w:val="0"/>
          <w:marBottom w:val="0"/>
          <w:divBdr>
            <w:top w:val="none" w:sz="0" w:space="0" w:color="auto"/>
            <w:left w:val="none" w:sz="0" w:space="0" w:color="auto"/>
            <w:bottom w:val="none" w:sz="0" w:space="0" w:color="auto"/>
            <w:right w:val="none" w:sz="0" w:space="0" w:color="auto"/>
          </w:divBdr>
        </w:div>
        <w:div w:id="958144842">
          <w:marLeft w:val="0"/>
          <w:marRight w:val="0"/>
          <w:marTop w:val="0"/>
          <w:marBottom w:val="0"/>
          <w:divBdr>
            <w:top w:val="none" w:sz="0" w:space="0" w:color="auto"/>
            <w:left w:val="none" w:sz="0" w:space="0" w:color="auto"/>
            <w:bottom w:val="none" w:sz="0" w:space="0" w:color="auto"/>
            <w:right w:val="none" w:sz="0" w:space="0" w:color="auto"/>
          </w:divBdr>
        </w:div>
        <w:div w:id="1106391418">
          <w:marLeft w:val="0"/>
          <w:marRight w:val="0"/>
          <w:marTop w:val="0"/>
          <w:marBottom w:val="0"/>
          <w:divBdr>
            <w:top w:val="none" w:sz="0" w:space="0" w:color="auto"/>
            <w:left w:val="none" w:sz="0" w:space="0" w:color="auto"/>
            <w:bottom w:val="none" w:sz="0" w:space="0" w:color="auto"/>
            <w:right w:val="none" w:sz="0" w:space="0" w:color="auto"/>
          </w:divBdr>
        </w:div>
        <w:div w:id="1227690564">
          <w:marLeft w:val="0"/>
          <w:marRight w:val="0"/>
          <w:marTop w:val="0"/>
          <w:marBottom w:val="0"/>
          <w:divBdr>
            <w:top w:val="none" w:sz="0" w:space="0" w:color="auto"/>
            <w:left w:val="none" w:sz="0" w:space="0" w:color="auto"/>
            <w:bottom w:val="none" w:sz="0" w:space="0" w:color="auto"/>
            <w:right w:val="none" w:sz="0" w:space="0" w:color="auto"/>
          </w:divBdr>
        </w:div>
        <w:div w:id="1239753064">
          <w:marLeft w:val="0"/>
          <w:marRight w:val="0"/>
          <w:marTop w:val="0"/>
          <w:marBottom w:val="0"/>
          <w:divBdr>
            <w:top w:val="none" w:sz="0" w:space="0" w:color="auto"/>
            <w:left w:val="none" w:sz="0" w:space="0" w:color="auto"/>
            <w:bottom w:val="none" w:sz="0" w:space="0" w:color="auto"/>
            <w:right w:val="none" w:sz="0" w:space="0" w:color="auto"/>
          </w:divBdr>
        </w:div>
        <w:div w:id="1361859476">
          <w:marLeft w:val="0"/>
          <w:marRight w:val="0"/>
          <w:marTop w:val="0"/>
          <w:marBottom w:val="0"/>
          <w:divBdr>
            <w:top w:val="none" w:sz="0" w:space="0" w:color="auto"/>
            <w:left w:val="none" w:sz="0" w:space="0" w:color="auto"/>
            <w:bottom w:val="none" w:sz="0" w:space="0" w:color="auto"/>
            <w:right w:val="none" w:sz="0" w:space="0" w:color="auto"/>
          </w:divBdr>
        </w:div>
        <w:div w:id="1421950798">
          <w:marLeft w:val="0"/>
          <w:marRight w:val="0"/>
          <w:marTop w:val="0"/>
          <w:marBottom w:val="0"/>
          <w:divBdr>
            <w:top w:val="none" w:sz="0" w:space="0" w:color="auto"/>
            <w:left w:val="none" w:sz="0" w:space="0" w:color="auto"/>
            <w:bottom w:val="none" w:sz="0" w:space="0" w:color="auto"/>
            <w:right w:val="none" w:sz="0" w:space="0" w:color="auto"/>
          </w:divBdr>
        </w:div>
        <w:div w:id="1644238657">
          <w:marLeft w:val="0"/>
          <w:marRight w:val="0"/>
          <w:marTop w:val="0"/>
          <w:marBottom w:val="0"/>
          <w:divBdr>
            <w:top w:val="none" w:sz="0" w:space="0" w:color="auto"/>
            <w:left w:val="none" w:sz="0" w:space="0" w:color="auto"/>
            <w:bottom w:val="none" w:sz="0" w:space="0" w:color="auto"/>
            <w:right w:val="none" w:sz="0" w:space="0" w:color="auto"/>
          </w:divBdr>
        </w:div>
        <w:div w:id="1651668981">
          <w:marLeft w:val="0"/>
          <w:marRight w:val="0"/>
          <w:marTop w:val="0"/>
          <w:marBottom w:val="0"/>
          <w:divBdr>
            <w:top w:val="none" w:sz="0" w:space="0" w:color="auto"/>
            <w:left w:val="none" w:sz="0" w:space="0" w:color="auto"/>
            <w:bottom w:val="none" w:sz="0" w:space="0" w:color="auto"/>
            <w:right w:val="none" w:sz="0" w:space="0" w:color="auto"/>
          </w:divBdr>
        </w:div>
        <w:div w:id="1660230816">
          <w:marLeft w:val="0"/>
          <w:marRight w:val="0"/>
          <w:marTop w:val="0"/>
          <w:marBottom w:val="0"/>
          <w:divBdr>
            <w:top w:val="none" w:sz="0" w:space="0" w:color="auto"/>
            <w:left w:val="none" w:sz="0" w:space="0" w:color="auto"/>
            <w:bottom w:val="none" w:sz="0" w:space="0" w:color="auto"/>
            <w:right w:val="none" w:sz="0" w:space="0" w:color="auto"/>
          </w:divBdr>
        </w:div>
        <w:div w:id="1795831268">
          <w:marLeft w:val="0"/>
          <w:marRight w:val="0"/>
          <w:marTop w:val="0"/>
          <w:marBottom w:val="0"/>
          <w:divBdr>
            <w:top w:val="none" w:sz="0" w:space="0" w:color="auto"/>
            <w:left w:val="none" w:sz="0" w:space="0" w:color="auto"/>
            <w:bottom w:val="none" w:sz="0" w:space="0" w:color="auto"/>
            <w:right w:val="none" w:sz="0" w:space="0" w:color="auto"/>
          </w:divBdr>
        </w:div>
        <w:div w:id="1844008839">
          <w:marLeft w:val="0"/>
          <w:marRight w:val="0"/>
          <w:marTop w:val="0"/>
          <w:marBottom w:val="0"/>
          <w:divBdr>
            <w:top w:val="none" w:sz="0" w:space="0" w:color="auto"/>
            <w:left w:val="none" w:sz="0" w:space="0" w:color="auto"/>
            <w:bottom w:val="none" w:sz="0" w:space="0" w:color="auto"/>
            <w:right w:val="none" w:sz="0" w:space="0" w:color="auto"/>
          </w:divBdr>
        </w:div>
        <w:div w:id="1891530546">
          <w:marLeft w:val="0"/>
          <w:marRight w:val="0"/>
          <w:marTop w:val="0"/>
          <w:marBottom w:val="0"/>
          <w:divBdr>
            <w:top w:val="none" w:sz="0" w:space="0" w:color="auto"/>
            <w:left w:val="none" w:sz="0" w:space="0" w:color="auto"/>
            <w:bottom w:val="none" w:sz="0" w:space="0" w:color="auto"/>
            <w:right w:val="none" w:sz="0" w:space="0" w:color="auto"/>
          </w:divBdr>
        </w:div>
        <w:div w:id="1953320795">
          <w:marLeft w:val="0"/>
          <w:marRight w:val="0"/>
          <w:marTop w:val="0"/>
          <w:marBottom w:val="0"/>
          <w:divBdr>
            <w:top w:val="none" w:sz="0" w:space="0" w:color="auto"/>
            <w:left w:val="none" w:sz="0" w:space="0" w:color="auto"/>
            <w:bottom w:val="none" w:sz="0" w:space="0" w:color="auto"/>
            <w:right w:val="none" w:sz="0" w:space="0" w:color="auto"/>
          </w:divBdr>
        </w:div>
      </w:divsChild>
    </w:div>
    <w:div w:id="2068414038">
      <w:bodyDiv w:val="1"/>
      <w:marLeft w:val="0"/>
      <w:marRight w:val="0"/>
      <w:marTop w:val="0"/>
      <w:marBottom w:val="0"/>
      <w:divBdr>
        <w:top w:val="none" w:sz="0" w:space="0" w:color="auto"/>
        <w:left w:val="none" w:sz="0" w:space="0" w:color="auto"/>
        <w:bottom w:val="none" w:sz="0" w:space="0" w:color="auto"/>
        <w:right w:val="none" w:sz="0" w:space="0" w:color="auto"/>
      </w:divBdr>
    </w:div>
    <w:div w:id="208217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gov.uk%2Fforeign-travel-advice&amp;data=02%7C01%7CSam.Emery%40beis.gov.uk%7C892811c18047480579e608d7fe4278b9%7Ccbac700502c143ebb497e6492d1b2dd8%7C0%7C0%7C637257433750398949&amp;sdata=on666PfX4HABW6lFC2VUlL15gfEkX4LweCtILUfe9%2BM%3D&amp;reserved=0" TargetMode="External"/><Relationship Id="rId13" Type="http://schemas.openxmlformats.org/officeDocument/2006/relationships/hyperlink" Target="https://www.gov.uk/uk-border-control"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eur02.safelinks.protection.outlook.com/?url=https%3A%2F%2Fwww.gov.uk%2Fguidance%2Fcoronavirus-covid-19-safer-travel-guidance-for-passengers&amp;data=02%7C01%7CSam.Emery%40beis.gov.uk%7C892811c18047480579e608d7fe4278b9%7Ccbac700502c143ebb497e6492d1b2dd8%7C0%7C0%7C637257433750418938&amp;sdata=v74x50IvJV0KC%2Bjb6tbu79JQbCdr4mcDZFkNZ0Bes58%3D&amp;reserved=0"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gov.uk/guidance/coronavirus-covid-19-safer-travel-guidance-for-passenger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2.safelinks.protection.outlook.com/?url=https%3A%2F%2Fwww.gov.uk%2Fguidance%2Fworking-safely-during-coronavirus-covid-19&amp;data=02%7C01%7CSam.Emery%40beis.gov.uk%7C892811c18047480579e608d7fe4278b9%7Ccbac700502c143ebb497e6492d1b2dd8%7C0%7C0%7C637257433750408938&amp;sdata=cXGm69gkXWqS0p4QOaO2MNhIX6hPRyb3ZF0950vWMU4%3D&amp;reserved=0"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gov.uk/guidance/working-safely-during-coronavirus-covid-19" TargetMode="External"/><Relationship Id="rId23" Type="http://schemas.openxmlformats.org/officeDocument/2006/relationships/theme" Target="theme/theme1.xml"/><Relationship Id="rId10" Type="http://schemas.openxmlformats.org/officeDocument/2006/relationships/hyperlink" Target="https://eur02.safelinks.protection.outlook.com/?url=https%3A%2F%2Fwww.gov.uk%2Fgovernment%2Fpublications%2Fstaying-alert-and-safe-social-distancing%2Fstaying-alert-and-safe-social-distancing&amp;data=02%7C01%7CSam.Emery%40beis.gov.uk%7C892811c18047480579e608d7fe4278b9%7Ccbac700502c143ebb497e6492d1b2dd8%7C0%7C0%7C637257433750408938&amp;sdata=Qa8WbOCd0kme7p5y8Vew1rLcDaKygf%2BPTPK5W5RKq5A%3D&amp;reserved=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egislation.gov.uk/uksi/2020/568/contents/made" TargetMode="External"/><Relationship Id="rId14" Type="http://schemas.openxmlformats.org/officeDocument/2006/relationships/image" Target="media/image2.png"/><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82CAC545A874CA25E83B9849C0637" ma:contentTypeVersion="14" ma:contentTypeDescription="Create a new document." ma:contentTypeScope="" ma:versionID="73a3aace71cf18b9b61f3efc91d3aab1">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3074f44d-7672-4291-9990-c73257792dc1" targetNamespace="http://schemas.microsoft.com/office/2006/metadata/properties" ma:root="true" ma:fieldsID="a241361392f2f28a6451044e2816dd38"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3074f44d-7672-4291-9990-c73257792dc1"/>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3:CIRRUSPreviousRetentionPolicy" minOccurs="0"/>
                <xsd:element ref="ns6:LegacyCaseReferenceNumber" minOccurs="0"/>
                <xsd:element ref="ns8:MediaServiceMetadata" minOccurs="0"/>
                <xsd:element ref="ns8:MediaServiceFastMetadata" minOccurs="0"/>
                <xsd:element ref="ns4:SharedWithUsers" minOccurs="0"/>
                <xsd:element ref="ns4:SharedWithDetails" minOccurs="0"/>
                <xsd:element ref="ns8:MediaServiceAutoKeyPoints" minOccurs="0"/>
                <xsd:element ref="ns8:MediaServiceKeyPoints" minOccurs="0"/>
                <xsd:element ref="ns8:_Flow_SignoffStatus" minOccurs="0"/>
                <xsd:element ref="ns8:MediaServiceDateTaken" minOccurs="0"/>
                <xsd:element ref="ns8:MediaServiceAutoTags" minOccurs="0"/>
                <xsd:element ref="ns8:MediaServiceOCR" minOccurs="0"/>
                <xsd:element ref="ns8:MediaServiceGenerationTime" minOccurs="0"/>
                <xsd:element ref="ns8: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5"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6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element name="LegacyCaseReferenceNumber" ma:index="66" nillable="true" ma:displayName="Legacy Case Reference Number" ma:internalName="LegacyCaseReference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74f44d-7672-4291-9990-c73257792dc1" elementFormDefault="qualified">
    <xsd:import namespace="http://schemas.microsoft.com/office/2006/documentManagement/types"/>
    <xsd:import namespace="http://schemas.microsoft.com/office/infopath/2007/PartnerControls"/>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AutoKeyPoints" ma:index="71" nillable="true" ma:displayName="MediaServiceAutoKeyPoints" ma:hidden="true" ma:internalName="MediaServiceAutoKeyPoints" ma:readOnly="true">
      <xsd:simpleType>
        <xsd:restriction base="dms:Note"/>
      </xsd:simpleType>
    </xsd:element>
    <xsd:element name="MediaServiceKeyPoints" ma:index="72" nillable="true" ma:displayName="KeyPoints" ma:internalName="MediaServiceKeyPoints" ma:readOnly="true">
      <xsd:simpleType>
        <xsd:restriction base="dms:Note">
          <xsd:maxLength value="255"/>
        </xsd:restriction>
      </xsd:simpleType>
    </xsd:element>
    <xsd:element name="_Flow_SignoffStatus" ma:index="73" nillable="true" ma:displayName="Sign-off status" ma:internalName="Sign_x002d_off_x0020_status">
      <xsd:simpleType>
        <xsd:restriction base="dms:Text"/>
      </xsd:simpleType>
    </xsd:element>
    <xsd:element name="MediaServiceDateTaken" ma:index="74" nillable="true" ma:displayName="MediaServiceDateTaken" ma:hidden="true" ma:internalName="MediaServiceDateTaken" ma:readOnly="true">
      <xsd:simpleType>
        <xsd:restriction base="dms:Text"/>
      </xsd:simpleType>
    </xsd:element>
    <xsd:element name="MediaServiceAutoTags" ma:index="75" nillable="true" ma:displayName="Tags" ma:internalName="MediaServiceAutoTags" ma:readOnly="true">
      <xsd:simpleType>
        <xsd:restriction base="dms:Text"/>
      </xsd:simpleType>
    </xsd:element>
    <xsd:element name="MediaServiceOCR" ma:index="76" nillable="true" ma:displayName="Extracted Text" ma:internalName="MediaServiceOCR" ma:readOnly="true">
      <xsd:simpleType>
        <xsd:restriction base="dms:Note">
          <xsd:maxLength value="255"/>
        </xsd:restriction>
      </xsd:simpleType>
    </xsd:element>
    <xsd:element name="MediaServiceGenerationTime" ma:index="77" nillable="true" ma:displayName="MediaServiceGenerationTime" ma:hidden="true" ma:internalName="MediaServiceGenerationTime"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gacyDocumentLink xmlns="b67a7830-db79-4a49-bf27-2aff92a2201a" xsi:nil="true"/>
    <LegacyDocumentType xmlns="b67a7830-db79-4a49-bf27-2aff92a2201a" xsi:nil="true"/>
    <LegacyLastActionDate xmlns="b67a7830-db79-4a49-bf27-2aff92a2201a" xsi:nil="true"/>
    <LegacyRequestType xmlns="a172083e-e40c-4314-b43a-827352a1ed2c" xsi:nil="true"/>
    <LegacyFolderNotes xmlns="a172083e-e40c-4314-b43a-827352a1ed2c" xsi:nil="true"/>
    <LegacyDescriptor xmlns="a172083e-e40c-4314-b43a-827352a1ed2c" xsi:nil="true"/>
    <LegacyExpiryReviewDate xmlns="b67a7830-db79-4a49-bf27-2aff92a2201a" xsi:nil="true"/>
    <LegacyNumericClass xmlns="b67a7830-db79-4a49-bf27-2aff92a2201a" xsi:nil="true"/>
    <_dlc_DocId xmlns="0063f72e-ace3-48fb-9c1f-5b513408b31f">2QFN7KK647Q6-246581169-350135</_dlc_DocId>
    <ExternallyShared xmlns="b67a7830-db79-4a49-bf27-2aff92a2201a" xsi:nil="true"/>
    <LegacyDateFileReturned xmlns="a172083e-e40c-4314-b43a-827352a1ed2c" xsi:nil="true"/>
    <LegacyProtectiveMarking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Emergency Response</TermName>
          <TermId xmlns="http://schemas.microsoft.com/office/infopath/2007/PartnerControls">b9e0d298-172f-424b-83b3-178502ca54a7</TermId>
        </TermInfo>
      </Terms>
    </m975189f4ba442ecbf67d4147307b177>
    <LegacyReferencesToOtherItems xmlns="b67a7830-db79-4a49-bf27-2aff92a2201a" xsi:nil="true"/>
    <LegacyLastModifiedDate xmlns="b67a7830-db79-4a49-bf27-2aff92a2201a" xsi:nil="true"/>
    <Retention_x0020_Label xmlns="a8f60570-4bd3-4f2b-950b-a996de8ab151">Corp PPP Review</Retention_x0020_Label>
    <LegacyDocumentID xmlns="a172083e-e40c-4314-b43a-827352a1ed2c" xsi:nil="true"/>
    <Document_x0020_Notes xmlns="b413c3fd-5a3b-4239-b985-69032e371c04" xsi:nil="true"/>
    <_Flow_SignoffStatus xmlns="3074f44d-7672-4291-9990-c73257792dc1" xsi:nil="true"/>
    <LegacyMP xmlns="a172083e-e40c-4314-b43a-827352a1ed2c" xsi:nil="true"/>
    <CIRRUSPreviousID xmlns="b413c3fd-5a3b-4239-b985-69032e371c04" xsi:nil="true"/>
    <LegacyFolderDocumentID xmlns="a172083e-e40c-4314-b43a-827352a1ed2c" xsi:nil="true"/>
    <LegacyCurrentLocation xmlns="b67a7830-db79-4a49-bf27-2aff92a2201a" xsi:nil="true"/>
    <CIRRUSPreviousRetentionPolicy xmlns="b413c3fd-5a3b-4239-b985-69032e371c04" xsi:nil="true"/>
    <LegacyDateFileRequested xmlns="a172083e-e40c-4314-b43a-827352a1ed2c" xsi:nil="true"/>
    <LegacyRecordCategoryIdentifier xmlns="b67a7830-db79-4a49-bf27-2aff92a2201a" xsi:nil="true"/>
    <LegacyDateClosed xmlns="b67a7830-db79-4a49-bf27-2aff92a2201a" xsi:nil="true"/>
    <LegacyMinister xmlns="a172083e-e40c-4314-b43a-827352a1ed2c" xsi:nil="true"/>
    <LegacyPhysicalItemLocation xmlns="a172083e-e40c-4314-b43a-827352a1ed2c" xsi:nil="true"/>
    <LegacyDispositionAsOfDate xmlns="b67a7830-db79-4a49-bf27-2aff92a2201a" xsi:nil="true"/>
    <LegacyAdditionalAuthors xmlns="b67a7830-db79-4a49-bf27-2aff92a2201a" xsi:nil="true"/>
    <National_x0020_Caveat xmlns="0063f72e-ace3-48fb-9c1f-5b513408b31f" xsi:nil="true"/>
    <Security_x0020_Classification xmlns="0063f72e-ace3-48fb-9c1f-5b513408b31f">OFFICIAL</Security_x0020_Classification>
    <_dlc_DocIdUrl xmlns="0063f72e-ace3-48fb-9c1f-5b513408b31f">
      <Url>https://beisgov.sharepoint.com/sites/beis/393/_layouts/15/DocIdRedir.aspx?ID=2QFN7KK647Q6-246581169-350135</Url>
      <Description>2QFN7KK647Q6-246581169-350135</Description>
    </_dlc_DocIdUrl>
    <LegacyModifier xmlns="b67a7830-db79-4a49-bf27-2aff92a2201a">
      <UserInfo>
        <DisplayName/>
        <AccountId xsi:nil="true"/>
        <AccountType/>
      </UserInfo>
    </LegacyModifier>
    <LegacyStatusonTransfer xmlns="b67a7830-db79-4a49-bf27-2aff92a2201a" xsi:nil="true"/>
    <Date_x0020_Closed xmlns="b413c3fd-5a3b-4239-b985-69032e371c04" xsi:nil="true"/>
    <LegacyFolder xmlns="b67a7830-db79-4a49-bf27-2aff92a2201a" xsi:nil="true"/>
    <LegacyTags xmlns="b67a7830-db79-4a49-bf27-2aff92a2201a" xsi:nil="true"/>
    <Handling_x0020_Instructions xmlns="b413c3fd-5a3b-4239-b985-69032e371c04" xsi:nil="true"/>
    <CIRRUSPreviousLocation xmlns="b413c3fd-5a3b-4239-b985-69032e371c04" xsi:nil="true"/>
    <LegacyCaseReferenceNumber xmlns="a172083e-e40c-4314-b43a-827352a1ed2c" xsi:nil="true"/>
    <LegacyRecordFolderIdentifier xmlns="b67a7830-db79-4a49-bf27-2aff92a2201a" xsi:nil="true"/>
    <LegacyContentType xmlns="b67a7830-db79-4a49-bf27-2aff92a2201a" xsi:nil="true"/>
    <LegacyFolderLink xmlns="b67a7830-db79-4a49-bf27-2aff92a2201a" xsi:nil="true"/>
    <LegacyCopyright xmlns="b67a7830-db79-4a49-bf27-2aff92a2201a" xsi:nil="true"/>
    <LegacyFolderType xmlns="b67a7830-db79-4a49-bf27-2aff92a2201a" xsi:nil="true"/>
    <TaxCatchAll xmlns="0063f72e-ace3-48fb-9c1f-5b513408b31f">
      <Value>220</Value>
    </TaxCatchAll>
    <LegacyHomeLocation xmlns="b67a7830-db79-4a49-bf27-2aff92a2201a" xsi:nil="true"/>
    <LegacyFileplanTarget xmlns="b67a7830-db79-4a49-bf27-2aff92a2201a" xsi:nil="true"/>
    <LegacyReferencesFromOtherItems xmlns="b67a7830-db79-4a49-bf27-2aff92a2201a" xsi:nil="true"/>
    <LegacyCustodian xmlns="b67a7830-db79-4a49-bf27-2aff92a2201a" xsi:nil="true"/>
    <LegacyPhysicalFormat xmlns="a172083e-e40c-4314-b43a-827352a1ed2c">false</LegacyPhysicalFormat>
    <LegacyDateFileReceived xmlns="a172083e-e40c-4314-b43a-827352a1ed2c" xsi:nil="true"/>
    <Government_x0020_Body xmlns="b413c3fd-5a3b-4239-b985-69032e371c04">BEIS</Government_x0020_Body>
    <Date_x0020_Opened xmlns="b413c3fd-5a3b-4239-b985-69032e371c04">2020-05-19T13:03:31+00:00</Date_x0020_Opened>
    <Descriptor xmlns="0063f72e-ace3-48fb-9c1f-5b513408b31f" xsi:nil="true"/>
  </documentManagement>
</p:properties>
</file>

<file path=customXml/itemProps1.xml><?xml version="1.0" encoding="utf-8"?>
<ds:datastoreItem xmlns:ds="http://schemas.openxmlformats.org/officeDocument/2006/customXml" ds:itemID="{CFA83F24-90C4-4BDF-95B3-3D7A75883E37}"/>
</file>

<file path=customXml/itemProps2.xml><?xml version="1.0" encoding="utf-8"?>
<ds:datastoreItem xmlns:ds="http://schemas.openxmlformats.org/officeDocument/2006/customXml" ds:itemID="{522304C7-6D46-4536-A770-A374217159BA}"/>
</file>

<file path=customXml/itemProps3.xml><?xml version="1.0" encoding="utf-8"?>
<ds:datastoreItem xmlns:ds="http://schemas.openxmlformats.org/officeDocument/2006/customXml" ds:itemID="{45114859-9377-4AD5-8BBA-55BA5ED9D8B1}"/>
</file>

<file path=customXml/itemProps4.xml><?xml version="1.0" encoding="utf-8"?>
<ds:datastoreItem xmlns:ds="http://schemas.openxmlformats.org/officeDocument/2006/customXml" ds:itemID="{EFC7ED81-D897-4ABE-BABE-57EE4A3B6FAD}"/>
</file>

<file path=docProps/app.xml><?xml version="1.0" encoding="utf-8"?>
<Properties xmlns="http://schemas.openxmlformats.org/officeDocument/2006/extended-properties" xmlns:vt="http://schemas.openxmlformats.org/officeDocument/2006/docPropsVTypes">
  <Template>Normal</Template>
  <TotalTime>0</TotalTime>
  <Pages>6</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17346</CharactersWithSpaces>
  <SharedDoc>false</SharedDoc>
  <HLinks>
    <vt:vector size="36" baseType="variant">
      <vt:variant>
        <vt:i4>4456527</vt:i4>
      </vt:variant>
      <vt:variant>
        <vt:i4>15</vt:i4>
      </vt:variant>
      <vt:variant>
        <vt:i4>0</vt:i4>
      </vt:variant>
      <vt:variant>
        <vt:i4>5</vt:i4>
      </vt:variant>
      <vt:variant>
        <vt:lpwstr>https://www.gov.uk/guidance/coronavirus-covid-19-safer-travel-guidance-for-passengers</vt:lpwstr>
      </vt:variant>
      <vt:variant>
        <vt:lpwstr/>
      </vt:variant>
      <vt:variant>
        <vt:i4>7078013</vt:i4>
      </vt:variant>
      <vt:variant>
        <vt:i4>12</vt:i4>
      </vt:variant>
      <vt:variant>
        <vt:i4>0</vt:i4>
      </vt:variant>
      <vt:variant>
        <vt:i4>5</vt:i4>
      </vt:variant>
      <vt:variant>
        <vt:lpwstr>https://www.gov.uk/guidance/working-safely-during-coronavirus-covid-19</vt:lpwstr>
      </vt:variant>
      <vt:variant>
        <vt:lpwstr/>
      </vt:variant>
      <vt:variant>
        <vt:i4>7929913</vt:i4>
      </vt:variant>
      <vt:variant>
        <vt:i4>9</vt:i4>
      </vt:variant>
      <vt:variant>
        <vt:i4>0</vt:i4>
      </vt:variant>
      <vt:variant>
        <vt:i4>5</vt:i4>
      </vt:variant>
      <vt:variant>
        <vt:lpwstr>https://eur02.safelinks.protection.outlook.com/?url=https%3A%2F%2Fwww.gov.uk%2Fguidance%2Fcoronavirus-covid-19-safer-travel-guidance-for-passengers&amp;data=02%7C01%7CSam.Emery%40beis.gov.uk%7C892811c18047480579e608d7fe4278b9%7Ccbac700502c143ebb497e6492d1b2dd8%7C0%7C0%7C637257433750418938&amp;sdata=v74x50IvJV0KC%2Bjb6tbu79JQbCdr4mcDZFkNZ0Bes58%3D&amp;reserved=0</vt:lpwstr>
      </vt:variant>
      <vt:variant>
        <vt:lpwstr/>
      </vt:variant>
      <vt:variant>
        <vt:i4>2818090</vt:i4>
      </vt:variant>
      <vt:variant>
        <vt:i4>6</vt:i4>
      </vt:variant>
      <vt:variant>
        <vt:i4>0</vt:i4>
      </vt:variant>
      <vt:variant>
        <vt:i4>5</vt:i4>
      </vt:variant>
      <vt:variant>
        <vt:lpwstr>https://eur02.safelinks.protection.outlook.com/?url=https%3A%2F%2Fwww.gov.uk%2Fguidance%2Fworking-safely-during-coronavirus-covid-19&amp;data=02%7C01%7CSam.Emery%40beis.gov.uk%7C892811c18047480579e608d7fe4278b9%7Ccbac700502c143ebb497e6492d1b2dd8%7C0%7C0%7C637257433750408938&amp;sdata=cXGm69gkXWqS0p4QOaO2MNhIX6hPRyb3ZF0950vWMU4%3D&amp;reserved=0</vt:lpwstr>
      </vt:variant>
      <vt:variant>
        <vt:lpwstr/>
      </vt:variant>
      <vt:variant>
        <vt:i4>2687034</vt:i4>
      </vt:variant>
      <vt:variant>
        <vt:i4>3</vt:i4>
      </vt:variant>
      <vt:variant>
        <vt:i4>0</vt:i4>
      </vt:variant>
      <vt:variant>
        <vt:i4>5</vt:i4>
      </vt:variant>
      <vt:variant>
        <vt:lpwstr>https://eur02.safelinks.protection.outlook.com/?url=https%3A%2F%2Fwww.gov.uk%2Fgovernment%2Fpublications%2Fstaying-alert-and-safe-social-distancing%2Fstaying-alert-and-safe-social-distancing&amp;data=02%7C01%7CSam.Emery%40beis.gov.uk%7C892811c18047480579e608d7fe4278b9%7Ccbac700502c143ebb497e6492d1b2dd8%7C0%7C0%7C637257433750408938&amp;sdata=Qa8WbOCd0kme7p5y8Vew1rLcDaKygf%2BPTPK5W5RKq5A%3D&amp;reserved=0</vt:lpwstr>
      </vt:variant>
      <vt:variant>
        <vt:lpwstr/>
      </vt:variant>
      <vt:variant>
        <vt:i4>2687078</vt:i4>
      </vt:variant>
      <vt:variant>
        <vt:i4>0</vt:i4>
      </vt:variant>
      <vt:variant>
        <vt:i4>0</vt:i4>
      </vt:variant>
      <vt:variant>
        <vt:i4>5</vt:i4>
      </vt:variant>
      <vt:variant>
        <vt:lpwstr>https://eur02.safelinks.protection.outlook.com/?url=https%3A%2F%2Fwww.gov.uk%2Fforeign-travel-advice&amp;data=02%7C01%7CSam.Emery%40beis.gov.uk%7C892811c18047480579e608d7fe4278b9%7Ccbac700502c143ebb497e6492d1b2dd8%7C0%7C0%7C637257433750398949&amp;sdata=on666PfX4HABW6lFC2VUlL15gfEkX4LweCtILUfe9%2BM%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2020-06-03T16:49:00Z</dcterms:created>
  <dcterms:modified xsi:type="dcterms:W3CDTF">2020-06-03T16:49:00Z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2020-06-03T16:49:45Z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9e715bb8-bbef-46ed-b6cd-0000ddda3678</vt:lpwstr>
  </property>
  <property fmtid="{D5CDD505-2E9C-101B-9397-08002B2CF9AE}" pid="8" name="MSIP_Label_ba62f585-b40f-4ab9-bafe-39150f03d124_ContentBits">
    <vt:lpwstr>0</vt:lpwstr>
  </property>
  <property fmtid="{D5CDD505-2E9C-101B-9397-08002B2CF9AE}" pid="9" name="Business Unit">
    <vt:lpwstr>220;#Emergency Response|b9e0d298-172f-424b-83b3-178502ca54a7</vt:lpwstr>
  </property>
  <property fmtid="{D5CDD505-2E9C-101B-9397-08002B2CF9AE}" pid="10" name="ContentTypeId">
    <vt:lpwstr>0x01010094A82CAC545A874CA25E83B9849C0637</vt:lpwstr>
  </property>
  <property fmtid="{D5CDD505-2E9C-101B-9397-08002B2CF9AE}" pid="11" name="_dlc_DocIdItemGuid">
    <vt:lpwstr>ce36539a-ea9c-4b32-8742-451c65b62308</vt:lpwstr>
  </property>
</Properties>
</file>