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BFF06" w14:textId="3F44FA1B" w:rsidR="007A3182" w:rsidRPr="00293DFF" w:rsidRDefault="00A14892" w:rsidP="000C1D75">
      <w:pPr>
        <w:pStyle w:val="Typedudocument"/>
        <w:rPr>
          <w:sz w:val="44"/>
        </w:rPr>
      </w:pPr>
      <w:bookmarkStart w:id="0" w:name="_GoBack"/>
      <w:r w:rsidRPr="00293DFF">
        <w:rPr>
          <w:sz w:val="44"/>
        </w:rPr>
        <w:t>Working Document</w:t>
      </w:r>
    </w:p>
    <w:bookmarkEnd w:id="0"/>
    <w:p w14:paraId="374850CF" w14:textId="1ACF1DDE" w:rsidR="005D7AF3" w:rsidRPr="005D7AF3" w:rsidRDefault="005D7AF3" w:rsidP="005D7AF3">
      <w:pPr>
        <w:pStyle w:val="IntrtEEE"/>
      </w:pPr>
      <w:r>
        <w:t>establishing</w:t>
      </w:r>
      <w:r w:rsidRPr="005D7AF3">
        <w:t xml:space="preserve"> detailed rules for the implementation and functioning of the European Products Registration Database for Energy Labelling</w:t>
      </w:r>
    </w:p>
    <w:p w14:paraId="4B4D7CDB" w14:textId="4666A331" w:rsidR="007A3182" w:rsidRPr="00130539" w:rsidRDefault="000C1D75" w:rsidP="000C1D75">
      <w:pPr>
        <w:pStyle w:val="IntrtEEE"/>
      </w:pPr>
      <w:r w:rsidRPr="000C1D75">
        <w:t>(Text with EEA relevance)</w:t>
      </w:r>
    </w:p>
    <w:p w14:paraId="70F0D0BC" w14:textId="77777777" w:rsidR="007A3182" w:rsidRPr="00130539" w:rsidRDefault="007A3182" w:rsidP="007A3182">
      <w:pPr>
        <w:pStyle w:val="Institutionquiagit"/>
      </w:pPr>
      <w:r w:rsidRPr="00130539">
        <w:t>THE EUROPEAN COMMISSION,</w:t>
      </w:r>
    </w:p>
    <w:p w14:paraId="6184ADF6" w14:textId="77777777" w:rsidR="007A3182" w:rsidRPr="00130539" w:rsidRDefault="007A3182" w:rsidP="007A3182">
      <w:r w:rsidRPr="00130539">
        <w:rPr>
          <w:color w:val="000000"/>
        </w:rPr>
        <w:t>Having regard to the Treaty on the Functioning of the European Union</w:t>
      </w:r>
      <w:r w:rsidRPr="00130539">
        <w:t>,</w:t>
      </w:r>
    </w:p>
    <w:p w14:paraId="3A12A556" w14:textId="5F5A3ABB" w:rsidR="007A3182" w:rsidRPr="00130539" w:rsidRDefault="007A3182" w:rsidP="007A3182">
      <w:r w:rsidRPr="00130539">
        <w:t xml:space="preserve">Having regard to </w:t>
      </w:r>
      <w:r w:rsidR="005D7AF3">
        <w:rPr>
          <w:lang w:eastAsia="fr-FR"/>
        </w:rPr>
        <w:t xml:space="preserve">Regulation </w:t>
      </w:r>
      <w:r w:rsidR="006705B4">
        <w:rPr>
          <w:lang w:eastAsia="fr-FR"/>
        </w:rPr>
        <w:t xml:space="preserve">(EU) </w:t>
      </w:r>
      <w:r w:rsidR="005D7AF3">
        <w:rPr>
          <w:lang w:eastAsia="fr-FR"/>
        </w:rPr>
        <w:t>2017/1367</w:t>
      </w:r>
      <w:r w:rsidRPr="00130539">
        <w:rPr>
          <w:lang w:eastAsia="fr-FR"/>
        </w:rPr>
        <w:t xml:space="preserve"> of the European Parliament and of the Council of </w:t>
      </w:r>
      <w:r w:rsidR="005D7AF3">
        <w:rPr>
          <w:lang w:eastAsia="fr-FR"/>
        </w:rPr>
        <w:t>4 July 2017 setting a framework for energy labelling and repealing Directive 2010/31/EU</w:t>
      </w:r>
      <w:r w:rsidR="005D7AF3">
        <w:rPr>
          <w:rStyle w:val="FootnoteReference"/>
          <w:lang w:eastAsia="fr-FR"/>
        </w:rPr>
        <w:footnoteReference w:id="1"/>
      </w:r>
      <w:r w:rsidRPr="00130539">
        <w:t>, and in particular Article</w:t>
      </w:r>
      <w:r w:rsidR="00130539">
        <w:t> </w:t>
      </w:r>
      <w:r w:rsidRPr="00130539">
        <w:t>1</w:t>
      </w:r>
      <w:r w:rsidR="0081609C">
        <w:t>2</w:t>
      </w:r>
      <w:r w:rsidRPr="00130539">
        <w:t>(</w:t>
      </w:r>
      <w:r w:rsidR="0081609C">
        <w:t>12</w:t>
      </w:r>
      <w:r w:rsidRPr="00130539">
        <w:t>) thereof,</w:t>
      </w:r>
    </w:p>
    <w:p w14:paraId="785DAE74" w14:textId="77777777" w:rsidR="007A3182" w:rsidRPr="00130539" w:rsidRDefault="007A3182" w:rsidP="007A3182">
      <w:pPr>
        <w:rPr>
          <w:szCs w:val="24"/>
        </w:rPr>
      </w:pPr>
      <w:r w:rsidRPr="00130539">
        <w:rPr>
          <w:szCs w:val="24"/>
        </w:rPr>
        <w:t>Whereas:</w:t>
      </w:r>
    </w:p>
    <w:p w14:paraId="7E34ACAF" w14:textId="18D79259" w:rsidR="006904F0" w:rsidRPr="006904F0" w:rsidRDefault="006904F0" w:rsidP="006904F0">
      <w:pPr>
        <w:pStyle w:val="Considrant"/>
        <w:numPr>
          <w:ilvl w:val="0"/>
          <w:numId w:val="1"/>
        </w:numPr>
        <w:rPr>
          <w:szCs w:val="24"/>
        </w:rPr>
      </w:pPr>
      <w:r w:rsidRPr="006904F0">
        <w:rPr>
          <w:szCs w:val="24"/>
        </w:rPr>
        <w:t>Regulation (EU) 2017/1367</w:t>
      </w:r>
      <w:r>
        <w:rPr>
          <w:szCs w:val="24"/>
        </w:rPr>
        <w:t xml:space="preserve"> provides that suppliers of energy related products covered by energy labelling regulations must enter specified information in the product database for products placed on the market.</w:t>
      </w:r>
    </w:p>
    <w:p w14:paraId="2710C89A" w14:textId="336F9F0C" w:rsidR="009167CF" w:rsidRPr="009167CF" w:rsidRDefault="009167CF" w:rsidP="009167CF">
      <w:pPr>
        <w:pStyle w:val="Considrant"/>
        <w:numPr>
          <w:ilvl w:val="0"/>
          <w:numId w:val="1"/>
        </w:numPr>
        <w:rPr>
          <w:szCs w:val="24"/>
        </w:rPr>
      </w:pPr>
      <w:r w:rsidRPr="009167CF">
        <w:rPr>
          <w:szCs w:val="24"/>
        </w:rPr>
        <w:t>In order to ensure uniform conditions for the implementation of Article 12 of Regulation (EU) 2017/1367</w:t>
      </w:r>
      <w:r>
        <w:rPr>
          <w:szCs w:val="24"/>
        </w:rPr>
        <w:t>, a common method</w:t>
      </w:r>
      <w:r w:rsidR="00A14892">
        <w:rPr>
          <w:szCs w:val="24"/>
        </w:rPr>
        <w:t xml:space="preserve"> should be established</w:t>
      </w:r>
      <w:r>
        <w:rPr>
          <w:szCs w:val="24"/>
        </w:rPr>
        <w:t xml:space="preserve"> for </w:t>
      </w:r>
      <w:r w:rsidR="00D40976">
        <w:rPr>
          <w:szCs w:val="24"/>
        </w:rPr>
        <w:t>suppliers of products covered by energy labelling delegated acts</w:t>
      </w:r>
      <w:r w:rsidR="00931992">
        <w:rPr>
          <w:szCs w:val="24"/>
        </w:rPr>
        <w:t xml:space="preserve"> or tyre labelling legislation</w:t>
      </w:r>
      <w:r w:rsidR="007375D4">
        <w:rPr>
          <w:szCs w:val="24"/>
        </w:rPr>
        <w:t>, to enter information in the database.</w:t>
      </w:r>
      <w:r w:rsidR="00D40976">
        <w:rPr>
          <w:szCs w:val="24"/>
        </w:rPr>
        <w:t xml:space="preserve"> </w:t>
      </w:r>
    </w:p>
    <w:p w14:paraId="67D17AE5" w14:textId="57E73A8B" w:rsidR="007A3182" w:rsidRPr="00130539" w:rsidRDefault="007A3182" w:rsidP="007A3182">
      <w:pPr>
        <w:pStyle w:val="Considrant"/>
        <w:numPr>
          <w:ilvl w:val="0"/>
          <w:numId w:val="1"/>
        </w:numPr>
        <w:rPr>
          <w:color w:val="000000" w:themeColor="text1"/>
          <w:szCs w:val="24"/>
        </w:rPr>
      </w:pPr>
      <w:r w:rsidRPr="00130539">
        <w:rPr>
          <w:szCs w:val="24"/>
        </w:rPr>
        <w:t xml:space="preserve">The </w:t>
      </w:r>
      <w:r w:rsidR="007375D4">
        <w:rPr>
          <w:szCs w:val="24"/>
        </w:rPr>
        <w:t xml:space="preserve">information to be entered into the database by suppliers </w:t>
      </w:r>
      <w:r w:rsidR="00A14892">
        <w:rPr>
          <w:szCs w:val="24"/>
        </w:rPr>
        <w:t>should</w:t>
      </w:r>
      <w:r w:rsidR="007375D4">
        <w:rPr>
          <w:szCs w:val="24"/>
        </w:rPr>
        <w:t xml:space="preserve"> use a common data </w:t>
      </w:r>
      <w:r w:rsidR="00931992">
        <w:rPr>
          <w:szCs w:val="24"/>
        </w:rPr>
        <w:t xml:space="preserve">model </w:t>
      </w:r>
      <w:r w:rsidRPr="00130539">
        <w:rPr>
          <w:szCs w:val="24"/>
        </w:rPr>
        <w:t>set</w:t>
      </w:r>
      <w:r w:rsidR="00A14892">
        <w:rPr>
          <w:szCs w:val="24"/>
        </w:rPr>
        <w:t>ting</w:t>
      </w:r>
      <w:r w:rsidRPr="00130539">
        <w:rPr>
          <w:szCs w:val="24"/>
        </w:rPr>
        <w:t xml:space="preserve"> out the information </w:t>
      </w:r>
      <w:r w:rsidR="002C39FB">
        <w:rPr>
          <w:szCs w:val="24"/>
        </w:rPr>
        <w:t>required as well as the identification of the supplier</w:t>
      </w:r>
      <w:r w:rsidRPr="00130539">
        <w:rPr>
          <w:szCs w:val="24"/>
          <w:lang w:eastAsia="fr-FR"/>
        </w:rPr>
        <w:t xml:space="preserve">. </w:t>
      </w:r>
    </w:p>
    <w:p w14:paraId="310934C7" w14:textId="1C753D14" w:rsidR="007A3182" w:rsidRDefault="007A3182" w:rsidP="005F13C6">
      <w:pPr>
        <w:pStyle w:val="Considrant"/>
        <w:tabs>
          <w:tab w:val="clear" w:pos="709"/>
          <w:tab w:val="num" w:pos="720"/>
        </w:tabs>
        <w:ind w:left="720" w:hanging="720"/>
        <w:rPr>
          <w:szCs w:val="24"/>
        </w:rPr>
      </w:pPr>
      <w:r w:rsidRPr="00130539">
        <w:t>The measures provided for in this Regulation are in accordance with the opinion of the Committee established by Article</w:t>
      </w:r>
      <w:r w:rsidR="00130539">
        <w:t> </w:t>
      </w:r>
      <w:r w:rsidR="006705B4">
        <w:t>18</w:t>
      </w:r>
      <w:r w:rsidRPr="00130539">
        <w:t xml:space="preserve"> of </w:t>
      </w:r>
      <w:r w:rsidR="006705B4" w:rsidRPr="006705B4">
        <w:rPr>
          <w:szCs w:val="24"/>
        </w:rPr>
        <w:t>Regulation (EU) 2017/1367</w:t>
      </w:r>
      <w:r w:rsidR="006705B4">
        <w:rPr>
          <w:szCs w:val="24"/>
        </w:rPr>
        <w:t>,</w:t>
      </w:r>
    </w:p>
    <w:p w14:paraId="0B37F0B1" w14:textId="77777777" w:rsidR="006705B4" w:rsidRPr="006705B4" w:rsidRDefault="006705B4" w:rsidP="006705B4">
      <w:pPr>
        <w:pStyle w:val="Considrant"/>
        <w:numPr>
          <w:ilvl w:val="0"/>
          <w:numId w:val="0"/>
        </w:numPr>
        <w:ind w:left="709"/>
        <w:rPr>
          <w:szCs w:val="24"/>
        </w:rPr>
      </w:pPr>
    </w:p>
    <w:p w14:paraId="493A783B" w14:textId="6C111680" w:rsidR="007A3182" w:rsidRDefault="007A3182" w:rsidP="007A3182">
      <w:pPr>
        <w:pStyle w:val="Formuledadoption"/>
      </w:pPr>
      <w:r w:rsidRPr="00130539">
        <w:t>HAS ADOPTED THIS REGULATION:</w:t>
      </w:r>
    </w:p>
    <w:p w14:paraId="7C9B6C1B" w14:textId="77777777" w:rsidR="0099652C" w:rsidRPr="0099652C" w:rsidRDefault="0099652C" w:rsidP="0099652C"/>
    <w:p w14:paraId="63234347" w14:textId="3FD525B5" w:rsidR="007A3182" w:rsidRDefault="007A3182" w:rsidP="007A3182">
      <w:pPr>
        <w:pStyle w:val="Titrearticle"/>
      </w:pPr>
      <w:r w:rsidRPr="00130539">
        <w:t>Article</w:t>
      </w:r>
      <w:r w:rsidR="00130539">
        <w:t> </w:t>
      </w:r>
      <w:r w:rsidRPr="00130539">
        <w:t>1</w:t>
      </w:r>
    </w:p>
    <w:p w14:paraId="6F14590F" w14:textId="75156ECD" w:rsidR="008E2205" w:rsidRDefault="008E2205" w:rsidP="007D542C">
      <w:pPr>
        <w:pStyle w:val="Titrearticle"/>
        <w:spacing w:before="240"/>
        <w:rPr>
          <w:b/>
          <w:i w:val="0"/>
          <w:szCs w:val="24"/>
        </w:rPr>
      </w:pPr>
      <w:r w:rsidRPr="007D542C">
        <w:rPr>
          <w:b/>
          <w:i w:val="0"/>
          <w:szCs w:val="24"/>
        </w:rPr>
        <w:t>Scope</w:t>
      </w:r>
    </w:p>
    <w:p w14:paraId="1655D9FB" w14:textId="1F24BD3A" w:rsidR="008E2205" w:rsidRDefault="008E2205" w:rsidP="007D542C">
      <w:r>
        <w:t xml:space="preserve">This Regulation applies </w:t>
      </w:r>
      <w:r w:rsidR="007D542C">
        <w:t>to suppliers placing on the market</w:t>
      </w:r>
      <w:r>
        <w:t>:</w:t>
      </w:r>
    </w:p>
    <w:p w14:paraId="52489C04" w14:textId="66C92AE7" w:rsidR="008E2205" w:rsidRDefault="008E2205" w:rsidP="00C35EB7">
      <w:pPr>
        <w:pStyle w:val="Considrant"/>
        <w:numPr>
          <w:ilvl w:val="0"/>
          <w:numId w:val="43"/>
        </w:numPr>
      </w:pPr>
      <w:r>
        <w:t>Products covered by an energy labelling delegated act under Regulation (EU) 2017/1369; and</w:t>
      </w:r>
    </w:p>
    <w:p w14:paraId="633947CE" w14:textId="3288FC25" w:rsidR="008E2205" w:rsidRPr="008E2205" w:rsidRDefault="008E2205" w:rsidP="00C35EB7">
      <w:pPr>
        <w:pStyle w:val="Considrant"/>
        <w:numPr>
          <w:ilvl w:val="0"/>
          <w:numId w:val="43"/>
        </w:numPr>
      </w:pPr>
      <w:r>
        <w:t>Tyres covered by Regulation (EC) 1222/2009</w:t>
      </w:r>
      <w:r w:rsidR="00C35EB7">
        <w:t xml:space="preserve"> [or new tyre labelling Regulation]</w:t>
      </w:r>
      <w:r>
        <w:t>.</w:t>
      </w:r>
    </w:p>
    <w:p w14:paraId="36D58E7C" w14:textId="2634C8D6" w:rsidR="005F13C6" w:rsidRPr="00130539" w:rsidRDefault="005F13C6" w:rsidP="005F13C6">
      <w:pPr>
        <w:pStyle w:val="Titrearticle"/>
        <w:spacing w:before="600"/>
        <w:rPr>
          <w:szCs w:val="24"/>
        </w:rPr>
      </w:pPr>
      <w:r w:rsidRPr="00130539">
        <w:rPr>
          <w:szCs w:val="24"/>
        </w:rPr>
        <w:lastRenderedPageBreak/>
        <w:t>Article</w:t>
      </w:r>
      <w:r>
        <w:rPr>
          <w:szCs w:val="24"/>
        </w:rPr>
        <w:t> 2</w:t>
      </w:r>
    </w:p>
    <w:p w14:paraId="39C7F8F9" w14:textId="77777777" w:rsidR="005F13C6" w:rsidRPr="00130539" w:rsidRDefault="005F13C6" w:rsidP="005F13C6">
      <w:pPr>
        <w:pStyle w:val="Titrearticle"/>
        <w:spacing w:before="240"/>
        <w:rPr>
          <w:b/>
          <w:szCs w:val="24"/>
        </w:rPr>
      </w:pPr>
      <w:r>
        <w:rPr>
          <w:b/>
          <w:szCs w:val="24"/>
        </w:rPr>
        <w:t>Registration of suppliers</w:t>
      </w:r>
    </w:p>
    <w:p w14:paraId="47A73EB3" w14:textId="77777777" w:rsidR="005F13C6" w:rsidRDefault="005F13C6" w:rsidP="005F13C6">
      <w:pPr>
        <w:pStyle w:val="ManualNumPar1"/>
        <w:rPr>
          <w:lang w:eastAsia="fr-FR"/>
        </w:rPr>
      </w:pPr>
      <w:r w:rsidRPr="00130539">
        <w:rPr>
          <w:lang w:eastAsia="fr-FR"/>
        </w:rPr>
        <w:t>1.</w:t>
      </w:r>
      <w:r w:rsidRPr="0099652C">
        <w:rPr>
          <w:lang w:eastAsia="fr-FR"/>
        </w:rPr>
        <w:t xml:space="preserve"> </w:t>
      </w:r>
      <w:r>
        <w:rPr>
          <w:lang w:eastAsia="fr-FR"/>
        </w:rPr>
        <w:tab/>
        <w:t>For the purposes of registering with the product database, manufacturers and importers</w:t>
      </w:r>
      <w:r w:rsidRPr="0099652C">
        <w:rPr>
          <w:lang w:eastAsia="fr-FR"/>
        </w:rPr>
        <w:t xml:space="preserve"> </w:t>
      </w:r>
      <w:r>
        <w:rPr>
          <w:lang w:eastAsia="fr-FR"/>
        </w:rPr>
        <w:t>shall provide the information set out in Part 1 of Annex I.</w:t>
      </w:r>
    </w:p>
    <w:p w14:paraId="694D8C69" w14:textId="77777777" w:rsidR="005F13C6" w:rsidRDefault="005F13C6" w:rsidP="00C35EB7">
      <w:pPr>
        <w:pStyle w:val="ManualNumPar1"/>
        <w:rPr>
          <w:lang w:eastAsia="fr-FR"/>
        </w:rPr>
      </w:pPr>
      <w:r w:rsidRPr="00130539">
        <w:rPr>
          <w:lang w:eastAsia="fr-FR"/>
        </w:rPr>
        <w:t xml:space="preserve">2. </w:t>
      </w:r>
      <w:r>
        <w:rPr>
          <w:lang w:eastAsia="fr-FR"/>
        </w:rPr>
        <w:tab/>
        <w:t xml:space="preserve">If manufacturers or importers mandate an authorised representative to enter information into the database on their behalf, the </w:t>
      </w:r>
      <w:r w:rsidRPr="00717229">
        <w:rPr>
          <w:lang w:eastAsia="fr-FR"/>
        </w:rPr>
        <w:t xml:space="preserve">authorised representative </w:t>
      </w:r>
      <w:r>
        <w:rPr>
          <w:lang w:eastAsia="fr-FR"/>
        </w:rPr>
        <w:t xml:space="preserve">shall, for the purposes of registering with the product database, provide the information and documentation set out in Part 2 of </w:t>
      </w:r>
      <w:r w:rsidRPr="00130539">
        <w:rPr>
          <w:lang w:eastAsia="fr-FR"/>
        </w:rPr>
        <w:t>Annex I.</w:t>
      </w:r>
    </w:p>
    <w:p w14:paraId="4AC010D7" w14:textId="34848191" w:rsidR="00874BDC" w:rsidRPr="00130539" w:rsidRDefault="00874BDC" w:rsidP="00874BDC">
      <w:pPr>
        <w:pStyle w:val="Titrearticle"/>
      </w:pPr>
      <w:r w:rsidRPr="00130539">
        <w:t>Article</w:t>
      </w:r>
      <w:r>
        <w:t> </w:t>
      </w:r>
      <w:r w:rsidR="005F13C6">
        <w:t>3</w:t>
      </w:r>
    </w:p>
    <w:p w14:paraId="5AD8DE72" w14:textId="0D1C24C5" w:rsidR="007A3182" w:rsidRPr="0099652C" w:rsidRDefault="001A2541" w:rsidP="007A3182">
      <w:pPr>
        <w:pStyle w:val="Titrearticle"/>
        <w:spacing w:before="240"/>
        <w:rPr>
          <w:b/>
          <w:i w:val="0"/>
          <w:szCs w:val="24"/>
        </w:rPr>
      </w:pPr>
      <w:r>
        <w:rPr>
          <w:b/>
          <w:i w:val="0"/>
          <w:szCs w:val="24"/>
        </w:rPr>
        <w:t>Entering</w:t>
      </w:r>
      <w:r w:rsidR="001D7D14" w:rsidRPr="0099652C">
        <w:rPr>
          <w:b/>
          <w:i w:val="0"/>
          <w:szCs w:val="24"/>
        </w:rPr>
        <w:t xml:space="preserve"> information</w:t>
      </w:r>
      <w:r>
        <w:rPr>
          <w:b/>
          <w:i w:val="0"/>
          <w:szCs w:val="24"/>
        </w:rPr>
        <w:t xml:space="preserve"> in the product database</w:t>
      </w:r>
    </w:p>
    <w:p w14:paraId="57A95D97" w14:textId="673B6EF1" w:rsidR="0065287F" w:rsidRPr="0065287F" w:rsidRDefault="007A3182" w:rsidP="00C35EB7">
      <w:pPr>
        <w:pStyle w:val="ManualNumPar1"/>
        <w:rPr>
          <w:lang w:eastAsia="fr-FR"/>
        </w:rPr>
      </w:pPr>
      <w:r w:rsidRPr="00130539">
        <w:rPr>
          <w:lang w:eastAsia="fr-FR"/>
        </w:rPr>
        <w:t xml:space="preserve">1. </w:t>
      </w:r>
      <w:r w:rsidR="007D542C">
        <w:rPr>
          <w:lang w:eastAsia="fr-FR"/>
        </w:rPr>
        <w:tab/>
      </w:r>
      <w:r w:rsidR="001D7D14">
        <w:rPr>
          <w:lang w:eastAsia="fr-FR"/>
        </w:rPr>
        <w:t>Suppliers</w:t>
      </w:r>
      <w:r w:rsidR="003D7AE0">
        <w:rPr>
          <w:lang w:eastAsia="fr-FR"/>
        </w:rPr>
        <w:t xml:space="preserve"> </w:t>
      </w:r>
      <w:r w:rsidR="008B05C7">
        <w:rPr>
          <w:lang w:eastAsia="fr-FR"/>
        </w:rPr>
        <w:t>shall</w:t>
      </w:r>
      <w:r w:rsidR="0099652C">
        <w:rPr>
          <w:lang w:eastAsia="fr-FR"/>
        </w:rPr>
        <w:t xml:space="preserve"> </w:t>
      </w:r>
      <w:r w:rsidR="007D542C">
        <w:rPr>
          <w:lang w:eastAsia="fr-FR"/>
        </w:rPr>
        <w:t>use the data model</w:t>
      </w:r>
      <w:r w:rsidR="007D542C" w:rsidRPr="00130539">
        <w:rPr>
          <w:lang w:eastAsia="fr-FR"/>
        </w:rPr>
        <w:t xml:space="preserve"> set out </w:t>
      </w:r>
      <w:r w:rsidR="007D542C">
        <w:rPr>
          <w:lang w:eastAsia="fr-FR"/>
        </w:rPr>
        <w:t xml:space="preserve">on the Commission website to </w:t>
      </w:r>
      <w:r w:rsidR="008B05C7">
        <w:rPr>
          <w:lang w:eastAsia="fr-FR"/>
        </w:rPr>
        <w:t>enter</w:t>
      </w:r>
      <w:r w:rsidR="0099652C">
        <w:rPr>
          <w:lang w:eastAsia="fr-FR"/>
        </w:rPr>
        <w:t xml:space="preserve"> </w:t>
      </w:r>
      <w:r w:rsidR="008B05C7">
        <w:rPr>
          <w:lang w:eastAsia="fr-FR"/>
        </w:rPr>
        <w:t xml:space="preserve">into the database </w:t>
      </w:r>
      <w:r w:rsidR="0099652C">
        <w:rPr>
          <w:lang w:eastAsia="fr-FR"/>
        </w:rPr>
        <w:t xml:space="preserve">the </w:t>
      </w:r>
      <w:r w:rsidR="008B05C7">
        <w:rPr>
          <w:lang w:eastAsia="fr-FR"/>
        </w:rPr>
        <w:t xml:space="preserve">information </w:t>
      </w:r>
      <w:r w:rsidR="0099652C">
        <w:rPr>
          <w:lang w:eastAsia="fr-FR"/>
        </w:rPr>
        <w:t xml:space="preserve">set out in Annex I to </w:t>
      </w:r>
      <w:r w:rsidR="0099652C" w:rsidRPr="0099652C">
        <w:rPr>
          <w:lang w:eastAsia="fr-FR"/>
        </w:rPr>
        <w:t>Regulation (EU) 2017/1367</w:t>
      </w:r>
      <w:r w:rsidR="0099652C">
        <w:rPr>
          <w:lang w:eastAsia="fr-FR"/>
        </w:rPr>
        <w:t xml:space="preserve"> </w:t>
      </w:r>
      <w:r w:rsidR="008B05C7">
        <w:rPr>
          <w:lang w:eastAsia="fr-FR"/>
        </w:rPr>
        <w:t xml:space="preserve">in respect of </w:t>
      </w:r>
      <w:r w:rsidR="0099652C">
        <w:rPr>
          <w:lang w:eastAsia="fr-FR"/>
        </w:rPr>
        <w:t xml:space="preserve">all </w:t>
      </w:r>
      <w:r w:rsidR="008B05C7">
        <w:rPr>
          <w:lang w:eastAsia="fr-FR"/>
        </w:rPr>
        <w:t>units of</w:t>
      </w:r>
      <w:r w:rsidR="0099652C">
        <w:rPr>
          <w:lang w:eastAsia="fr-FR"/>
        </w:rPr>
        <w:t xml:space="preserve"> new </w:t>
      </w:r>
      <w:r w:rsidR="008B05C7">
        <w:rPr>
          <w:lang w:eastAsia="fr-FR"/>
        </w:rPr>
        <w:t>models</w:t>
      </w:r>
      <w:r w:rsidR="004C5F84">
        <w:rPr>
          <w:lang w:eastAsia="fr-FR"/>
        </w:rPr>
        <w:t xml:space="preserve"> </w:t>
      </w:r>
      <w:r w:rsidR="00874BDC">
        <w:rPr>
          <w:lang w:eastAsia="fr-FR"/>
        </w:rPr>
        <w:t xml:space="preserve">of products </w:t>
      </w:r>
      <w:r w:rsidR="008B05C7">
        <w:rPr>
          <w:lang w:eastAsia="fr-FR"/>
        </w:rPr>
        <w:t xml:space="preserve">placed on the market </w:t>
      </w:r>
      <w:r w:rsidR="0065287F">
        <w:rPr>
          <w:lang w:eastAsia="fr-FR"/>
        </w:rPr>
        <w:t xml:space="preserve">as from </w:t>
      </w:r>
      <w:r w:rsidR="008B05C7">
        <w:rPr>
          <w:lang w:eastAsia="fr-FR"/>
        </w:rPr>
        <w:t>1 January 2019,</w:t>
      </w:r>
      <w:r w:rsidR="007D542C">
        <w:rPr>
          <w:lang w:eastAsia="fr-FR"/>
        </w:rPr>
        <w:t xml:space="preserve"> </w:t>
      </w:r>
      <w:r w:rsidR="00A14892">
        <w:rPr>
          <w:lang w:eastAsia="fr-FR"/>
        </w:rPr>
        <w:t>before</w:t>
      </w:r>
      <w:r w:rsidR="008B05C7">
        <w:rPr>
          <w:lang w:eastAsia="fr-FR"/>
        </w:rPr>
        <w:t xml:space="preserve"> the u</w:t>
      </w:r>
      <w:r w:rsidR="003D7AE0">
        <w:rPr>
          <w:lang w:eastAsia="fr-FR"/>
        </w:rPr>
        <w:t>nit is placed on the market.</w:t>
      </w:r>
    </w:p>
    <w:p w14:paraId="1FCD6BF5" w14:textId="77777777" w:rsidR="0065287F" w:rsidRDefault="007A3182" w:rsidP="00C35EB7">
      <w:pPr>
        <w:pStyle w:val="ManualNumPar1"/>
        <w:rPr>
          <w:szCs w:val="24"/>
          <w:lang w:eastAsia="fr-FR"/>
        </w:rPr>
      </w:pPr>
      <w:r w:rsidRPr="00130539">
        <w:rPr>
          <w:szCs w:val="24"/>
          <w:lang w:eastAsia="fr-FR"/>
        </w:rPr>
        <w:t xml:space="preserve">2. </w:t>
      </w:r>
      <w:r w:rsidR="007D542C">
        <w:rPr>
          <w:szCs w:val="24"/>
          <w:lang w:eastAsia="fr-FR"/>
        </w:rPr>
        <w:tab/>
      </w:r>
      <w:r w:rsidR="007D542C" w:rsidRPr="008B05C7">
        <w:rPr>
          <w:szCs w:val="24"/>
          <w:lang w:eastAsia="fr-FR"/>
        </w:rPr>
        <w:t xml:space="preserve">Suppliers </w:t>
      </w:r>
      <w:r w:rsidR="007D542C" w:rsidRPr="000749E4">
        <w:rPr>
          <w:szCs w:val="24"/>
          <w:lang w:eastAsia="fr-FR"/>
        </w:rPr>
        <w:t xml:space="preserve">shall </w:t>
      </w:r>
      <w:r w:rsidR="007D542C">
        <w:rPr>
          <w:lang w:eastAsia="fr-FR"/>
        </w:rPr>
        <w:t>use the data model</w:t>
      </w:r>
      <w:r w:rsidR="007D542C" w:rsidRPr="00130539">
        <w:rPr>
          <w:lang w:eastAsia="fr-FR"/>
        </w:rPr>
        <w:t xml:space="preserve"> set out </w:t>
      </w:r>
      <w:r w:rsidR="007D542C">
        <w:rPr>
          <w:lang w:eastAsia="fr-FR"/>
        </w:rPr>
        <w:t>on the Commission website</w:t>
      </w:r>
      <w:r w:rsidR="007D542C">
        <w:rPr>
          <w:szCs w:val="24"/>
          <w:lang w:eastAsia="fr-FR"/>
        </w:rPr>
        <w:t xml:space="preserve"> to enter into the database before </w:t>
      </w:r>
      <w:r w:rsidR="007D542C" w:rsidRPr="008B05C7">
        <w:rPr>
          <w:szCs w:val="24"/>
          <w:lang w:eastAsia="fr-FR"/>
        </w:rPr>
        <w:t>1 J</w:t>
      </w:r>
      <w:r w:rsidR="007D542C">
        <w:rPr>
          <w:szCs w:val="24"/>
          <w:lang w:eastAsia="fr-FR"/>
        </w:rPr>
        <w:t>une</w:t>
      </w:r>
      <w:r w:rsidR="007D542C" w:rsidRPr="008B05C7">
        <w:rPr>
          <w:szCs w:val="24"/>
          <w:lang w:eastAsia="fr-FR"/>
        </w:rPr>
        <w:t xml:space="preserve"> 2019</w:t>
      </w:r>
      <w:r w:rsidR="007D542C">
        <w:rPr>
          <w:szCs w:val="24"/>
          <w:lang w:eastAsia="fr-FR"/>
        </w:rPr>
        <w:t xml:space="preserve">, the information set out in Annex I to </w:t>
      </w:r>
      <w:r w:rsidR="007D542C" w:rsidRPr="0099652C">
        <w:rPr>
          <w:szCs w:val="24"/>
          <w:lang w:eastAsia="fr-FR"/>
        </w:rPr>
        <w:t>Regulation (EU) 2017/1367</w:t>
      </w:r>
      <w:r w:rsidR="007D542C">
        <w:rPr>
          <w:szCs w:val="24"/>
          <w:lang w:eastAsia="fr-FR"/>
        </w:rPr>
        <w:t xml:space="preserve"> in respect of all </w:t>
      </w:r>
      <w:r w:rsidR="007D542C" w:rsidRPr="008B05C7">
        <w:rPr>
          <w:szCs w:val="24"/>
          <w:lang w:eastAsia="fr-FR"/>
        </w:rPr>
        <w:t xml:space="preserve">units of </w:t>
      </w:r>
      <w:r w:rsidR="007D542C">
        <w:rPr>
          <w:szCs w:val="24"/>
          <w:lang w:eastAsia="fr-FR"/>
        </w:rPr>
        <w:t xml:space="preserve">new </w:t>
      </w:r>
      <w:r w:rsidR="007D542C" w:rsidRPr="008B05C7">
        <w:rPr>
          <w:szCs w:val="24"/>
          <w:lang w:eastAsia="fr-FR"/>
        </w:rPr>
        <w:t xml:space="preserve">models </w:t>
      </w:r>
      <w:r w:rsidR="007D542C">
        <w:rPr>
          <w:szCs w:val="24"/>
          <w:lang w:eastAsia="fr-FR"/>
        </w:rPr>
        <w:t xml:space="preserve">of products </w:t>
      </w:r>
      <w:r w:rsidR="007D542C" w:rsidRPr="008B05C7">
        <w:rPr>
          <w:szCs w:val="24"/>
          <w:lang w:eastAsia="fr-FR"/>
        </w:rPr>
        <w:t xml:space="preserve">placed on the market </w:t>
      </w:r>
      <w:r w:rsidR="007D542C">
        <w:rPr>
          <w:szCs w:val="24"/>
          <w:lang w:eastAsia="fr-FR"/>
        </w:rPr>
        <w:t>between 1 August 2017 and 1 January</w:t>
      </w:r>
      <w:r w:rsidR="007D542C" w:rsidRPr="008B05C7">
        <w:rPr>
          <w:szCs w:val="24"/>
          <w:lang w:eastAsia="fr-FR"/>
        </w:rPr>
        <w:t xml:space="preserve"> 2019</w:t>
      </w:r>
      <w:r w:rsidR="007D542C">
        <w:rPr>
          <w:szCs w:val="24"/>
          <w:lang w:eastAsia="fr-FR"/>
        </w:rPr>
        <w:t>.</w:t>
      </w:r>
    </w:p>
    <w:p w14:paraId="7AF90D9D" w14:textId="04E820F6" w:rsidR="004C5F84" w:rsidRPr="00C35EB7" w:rsidRDefault="0065287F" w:rsidP="00C35EB7">
      <w:pPr>
        <w:pStyle w:val="ManualNumPar1"/>
        <w:rPr>
          <w:szCs w:val="24"/>
          <w:lang w:eastAsia="fr-FR"/>
        </w:rPr>
      </w:pPr>
      <w:r>
        <w:rPr>
          <w:szCs w:val="24"/>
          <w:lang w:eastAsia="fr-FR"/>
        </w:rPr>
        <w:t>3.</w:t>
      </w:r>
      <w:r>
        <w:rPr>
          <w:szCs w:val="24"/>
          <w:lang w:eastAsia="fr-FR"/>
        </w:rPr>
        <w:tab/>
      </w:r>
      <w:r w:rsidR="004C5F84" w:rsidRPr="0065287F">
        <w:rPr>
          <w:szCs w:val="24"/>
          <w:lang w:eastAsia="fr-FR"/>
        </w:rPr>
        <w:t xml:space="preserve">Tyre suppliers </w:t>
      </w:r>
      <w:r w:rsidR="000749E4" w:rsidRPr="0065287F">
        <w:rPr>
          <w:szCs w:val="24"/>
          <w:lang w:eastAsia="fr-FR"/>
        </w:rPr>
        <w:t xml:space="preserve">shall </w:t>
      </w:r>
      <w:r w:rsidR="007D542C" w:rsidRPr="0065287F">
        <w:rPr>
          <w:szCs w:val="24"/>
          <w:lang w:eastAsia="fr-FR"/>
        </w:rPr>
        <w:t>use the data model set out on the Commission website</w:t>
      </w:r>
      <w:r w:rsidR="007D542C" w:rsidRPr="00830384">
        <w:rPr>
          <w:szCs w:val="24"/>
          <w:lang w:eastAsia="fr-FR"/>
        </w:rPr>
        <w:t xml:space="preserve"> to enter </w:t>
      </w:r>
      <w:r>
        <w:rPr>
          <w:szCs w:val="24"/>
          <w:lang w:eastAsia="fr-FR"/>
        </w:rPr>
        <w:t>into the database</w:t>
      </w:r>
      <w:r w:rsidR="007D542C" w:rsidRPr="00830384">
        <w:rPr>
          <w:szCs w:val="24"/>
          <w:lang w:eastAsia="fr-FR"/>
        </w:rPr>
        <w:t xml:space="preserve"> the information set out in Annex I to Regulation (EU) 2017/1367 in respect of </w:t>
      </w:r>
      <w:r w:rsidR="000749E4" w:rsidRPr="00830384">
        <w:rPr>
          <w:szCs w:val="24"/>
          <w:lang w:eastAsia="fr-FR"/>
        </w:rPr>
        <w:t xml:space="preserve">tyres placed on the market </w:t>
      </w:r>
      <w:r>
        <w:rPr>
          <w:szCs w:val="24"/>
          <w:lang w:eastAsia="fr-FR"/>
        </w:rPr>
        <w:t>as from</w:t>
      </w:r>
      <w:r w:rsidRPr="00830384">
        <w:rPr>
          <w:szCs w:val="24"/>
          <w:lang w:eastAsia="fr-FR"/>
        </w:rPr>
        <w:t xml:space="preserve"> </w:t>
      </w:r>
      <w:r w:rsidR="000749E4" w:rsidRPr="00830384">
        <w:rPr>
          <w:szCs w:val="24"/>
          <w:lang w:eastAsia="fr-FR"/>
        </w:rPr>
        <w:t>1 January 2020</w:t>
      </w:r>
      <w:r w:rsidR="007D542C" w:rsidRPr="00830384">
        <w:rPr>
          <w:szCs w:val="24"/>
          <w:lang w:eastAsia="fr-FR"/>
        </w:rPr>
        <w:t>.</w:t>
      </w:r>
    </w:p>
    <w:p w14:paraId="504E96CB" w14:textId="05749708" w:rsidR="007A3182" w:rsidRPr="00130539" w:rsidRDefault="000749E4" w:rsidP="00C35EB7">
      <w:pPr>
        <w:pStyle w:val="ManualNumPar1"/>
        <w:rPr>
          <w:lang w:eastAsia="fr-FR"/>
        </w:rPr>
      </w:pPr>
      <w:r>
        <w:rPr>
          <w:lang w:eastAsia="fr-FR"/>
        </w:rPr>
        <w:t xml:space="preserve">4. </w:t>
      </w:r>
      <w:r w:rsidR="0065287F">
        <w:rPr>
          <w:lang w:eastAsia="fr-FR"/>
        </w:rPr>
        <w:tab/>
      </w:r>
      <w:r>
        <w:rPr>
          <w:lang w:eastAsia="fr-FR"/>
        </w:rPr>
        <w:t>Tyre s</w:t>
      </w:r>
      <w:r w:rsidRPr="000749E4">
        <w:rPr>
          <w:lang w:eastAsia="fr-FR"/>
        </w:rPr>
        <w:t xml:space="preserve">uppliers </w:t>
      </w:r>
      <w:r>
        <w:rPr>
          <w:lang w:eastAsia="fr-FR"/>
        </w:rPr>
        <w:t>shall</w:t>
      </w:r>
      <w:r w:rsidRPr="000749E4">
        <w:rPr>
          <w:lang w:eastAsia="fr-FR"/>
        </w:rPr>
        <w:t xml:space="preserve"> </w:t>
      </w:r>
      <w:r w:rsidR="0065287F">
        <w:rPr>
          <w:lang w:eastAsia="fr-FR"/>
        </w:rPr>
        <w:t>use the data model</w:t>
      </w:r>
      <w:r w:rsidR="0065287F" w:rsidRPr="00130539">
        <w:rPr>
          <w:lang w:eastAsia="fr-FR"/>
        </w:rPr>
        <w:t xml:space="preserve"> set out </w:t>
      </w:r>
      <w:r w:rsidR="0065287F">
        <w:rPr>
          <w:lang w:eastAsia="fr-FR"/>
        </w:rPr>
        <w:t xml:space="preserve">on the Commission website to enter into the database before 30 June 2020, the information set out in Annex I to </w:t>
      </w:r>
      <w:r w:rsidR="0065287F" w:rsidRPr="0099652C">
        <w:rPr>
          <w:lang w:eastAsia="fr-FR"/>
        </w:rPr>
        <w:t>Regulation (EU) 2017/1367</w:t>
      </w:r>
      <w:r w:rsidR="0065287F">
        <w:rPr>
          <w:lang w:eastAsia="fr-FR"/>
        </w:rPr>
        <w:t xml:space="preserve"> in respect of </w:t>
      </w:r>
      <w:r>
        <w:rPr>
          <w:lang w:eastAsia="fr-FR"/>
        </w:rPr>
        <w:t>tyres</w:t>
      </w:r>
      <w:r w:rsidRPr="000749E4">
        <w:rPr>
          <w:lang w:eastAsia="fr-FR"/>
        </w:rPr>
        <w:t xml:space="preserve"> </w:t>
      </w:r>
      <w:r>
        <w:rPr>
          <w:lang w:eastAsia="fr-FR"/>
        </w:rPr>
        <w:t xml:space="preserve">placed on the market between </w:t>
      </w:r>
      <w:r w:rsidRPr="00C35EB7">
        <w:rPr>
          <w:i/>
          <w:lang w:eastAsia="fr-FR"/>
        </w:rPr>
        <w:t>[date of entry into force of new Tyre regulation]</w:t>
      </w:r>
      <w:r>
        <w:rPr>
          <w:lang w:eastAsia="fr-FR"/>
        </w:rPr>
        <w:t xml:space="preserve"> and 31 December</w:t>
      </w:r>
      <w:r w:rsidRPr="000749E4">
        <w:rPr>
          <w:lang w:eastAsia="fr-FR"/>
        </w:rPr>
        <w:t xml:space="preserve"> 2019</w:t>
      </w:r>
      <w:r>
        <w:rPr>
          <w:lang w:eastAsia="fr-FR"/>
        </w:rPr>
        <w:t>.</w:t>
      </w:r>
    </w:p>
    <w:p w14:paraId="71FBD916" w14:textId="599CE85C" w:rsidR="007A3182" w:rsidRPr="00130539" w:rsidRDefault="007A3182" w:rsidP="007A3182">
      <w:pPr>
        <w:pStyle w:val="Titrearticle"/>
        <w:spacing w:before="600"/>
        <w:rPr>
          <w:szCs w:val="24"/>
        </w:rPr>
      </w:pPr>
      <w:r w:rsidRPr="00130539">
        <w:rPr>
          <w:szCs w:val="24"/>
        </w:rPr>
        <w:t>Article</w:t>
      </w:r>
      <w:r w:rsidR="00130539">
        <w:rPr>
          <w:szCs w:val="24"/>
        </w:rPr>
        <w:t> </w:t>
      </w:r>
      <w:r w:rsidRPr="00130539">
        <w:rPr>
          <w:szCs w:val="24"/>
        </w:rPr>
        <w:t>4</w:t>
      </w:r>
    </w:p>
    <w:p w14:paraId="65C41E0C" w14:textId="77777777" w:rsidR="007A3182" w:rsidRPr="00130539" w:rsidRDefault="007A3182" w:rsidP="007A3182">
      <w:pPr>
        <w:pStyle w:val="Titrearticle"/>
        <w:spacing w:before="240"/>
        <w:rPr>
          <w:b/>
          <w:szCs w:val="24"/>
        </w:rPr>
      </w:pPr>
      <w:r w:rsidRPr="00130539">
        <w:rPr>
          <w:b/>
          <w:szCs w:val="24"/>
        </w:rPr>
        <w:t>Entry into force</w:t>
      </w:r>
    </w:p>
    <w:p w14:paraId="2FC19258" w14:textId="77777777" w:rsidR="007A3182" w:rsidRPr="00130539" w:rsidRDefault="007A3182" w:rsidP="007A3182">
      <w:pPr>
        <w:spacing w:after="240"/>
        <w:rPr>
          <w:szCs w:val="24"/>
        </w:rPr>
      </w:pPr>
      <w:r w:rsidRPr="00130539">
        <w:rPr>
          <w:szCs w:val="24"/>
        </w:rPr>
        <w:t xml:space="preserve">This Regulation shall enter into force on the twentieth day following that of its publication in the </w:t>
      </w:r>
      <w:r w:rsidRPr="00130539">
        <w:rPr>
          <w:i/>
          <w:szCs w:val="24"/>
        </w:rPr>
        <w:t>Official Journal of the European Union</w:t>
      </w:r>
      <w:r w:rsidRPr="00130539">
        <w:rPr>
          <w:szCs w:val="24"/>
        </w:rPr>
        <w:t>.</w:t>
      </w:r>
    </w:p>
    <w:p w14:paraId="30180799" w14:textId="03D04419" w:rsidR="007A3182" w:rsidRPr="00130539" w:rsidRDefault="007A3182" w:rsidP="007A3182">
      <w:pPr>
        <w:spacing w:after="240"/>
        <w:rPr>
          <w:szCs w:val="24"/>
        </w:rPr>
      </w:pPr>
      <w:r w:rsidRPr="00130539">
        <w:rPr>
          <w:szCs w:val="24"/>
        </w:rPr>
        <w:t xml:space="preserve">It shall apply from </w:t>
      </w:r>
      <w:r w:rsidR="005F13C6" w:rsidRPr="00C35EB7">
        <w:rPr>
          <w:i/>
          <w:szCs w:val="24"/>
        </w:rPr>
        <w:t>[day/month]</w:t>
      </w:r>
      <w:r w:rsidR="005F13C6">
        <w:rPr>
          <w:szCs w:val="24"/>
        </w:rPr>
        <w:t xml:space="preserve"> </w:t>
      </w:r>
      <w:r w:rsidRPr="00130539">
        <w:rPr>
          <w:szCs w:val="24"/>
        </w:rPr>
        <w:t>2019.</w:t>
      </w:r>
    </w:p>
    <w:p w14:paraId="24E832F4" w14:textId="77777777" w:rsidR="007A3182" w:rsidRPr="00130539" w:rsidRDefault="007A3182" w:rsidP="007A3182">
      <w:pPr>
        <w:spacing w:after="240"/>
        <w:rPr>
          <w:szCs w:val="24"/>
        </w:rPr>
      </w:pPr>
      <w:r w:rsidRPr="00130539">
        <w:rPr>
          <w:szCs w:val="24"/>
        </w:rPr>
        <w:t>This Regulation shall be binding in its entirety and directly applicable in all Member States.</w:t>
      </w:r>
    </w:p>
    <w:p w14:paraId="7AF78138" w14:textId="1D79ED0D" w:rsidR="007A3182" w:rsidRPr="00130539" w:rsidRDefault="000C1D75" w:rsidP="000C1D75">
      <w:pPr>
        <w:pStyle w:val="Fait"/>
      </w:pPr>
      <w:r w:rsidRPr="000C1D75">
        <w:t>Done at Brussels,</w:t>
      </w:r>
    </w:p>
    <w:p w14:paraId="04254599" w14:textId="77777777" w:rsidR="007A3182" w:rsidRPr="00130539" w:rsidRDefault="007A3182" w:rsidP="007A3182">
      <w:pPr>
        <w:pStyle w:val="Institutionquisigne"/>
      </w:pPr>
      <w:r w:rsidRPr="00130539">
        <w:tab/>
        <w:t>For the Commission</w:t>
      </w:r>
    </w:p>
    <w:p w14:paraId="24EBA2A0" w14:textId="77777777" w:rsidR="007A3182" w:rsidRPr="00130539" w:rsidRDefault="007A3182" w:rsidP="007A3182">
      <w:pPr>
        <w:pStyle w:val="Personnequisigne"/>
      </w:pPr>
      <w:r w:rsidRPr="00130539">
        <w:tab/>
        <w:t>The President</w:t>
      </w:r>
      <w:r w:rsidRPr="00130539">
        <w:br/>
      </w:r>
      <w:r w:rsidRPr="00130539">
        <w:tab/>
        <w:t>Jean-Claude JUNCKER</w:t>
      </w:r>
      <w:r w:rsidRPr="00130539">
        <w:br/>
      </w:r>
    </w:p>
    <w:sectPr w:rsidR="007A3182" w:rsidRPr="00130539" w:rsidSect="00293D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B89BF" w14:textId="77777777" w:rsidR="00266979" w:rsidRPr="00130539" w:rsidRDefault="00266979" w:rsidP="00220DC8">
      <w:pPr>
        <w:spacing w:before="0" w:after="0"/>
      </w:pPr>
      <w:r w:rsidRPr="00130539">
        <w:separator/>
      </w:r>
    </w:p>
  </w:endnote>
  <w:endnote w:type="continuationSeparator" w:id="0">
    <w:p w14:paraId="3EFBE565" w14:textId="77777777" w:rsidR="00266979" w:rsidRPr="00130539" w:rsidRDefault="00266979" w:rsidP="00220DC8">
      <w:pPr>
        <w:spacing w:before="0" w:after="0"/>
      </w:pPr>
      <w:r w:rsidRPr="0013053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33CF4" w14:textId="77777777" w:rsidR="00293DFF" w:rsidRPr="00293DFF" w:rsidRDefault="00293DFF" w:rsidP="00293D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A7459" w14:textId="29A4711A" w:rsidR="003D3739" w:rsidRPr="00293DFF" w:rsidRDefault="00293DFF" w:rsidP="00293DFF">
    <w:pPr>
      <w:pStyle w:val="Footer"/>
      <w:rPr>
        <w:rFonts w:ascii="Arial" w:hAnsi="Arial" w:cs="Arial"/>
        <w:b/>
        <w:sz w:val="48"/>
      </w:rPr>
    </w:pPr>
    <w:r w:rsidRPr="00293DFF">
      <w:rPr>
        <w:rFonts w:ascii="Arial" w:hAnsi="Arial" w:cs="Arial"/>
        <w:b/>
        <w:sz w:val="48"/>
      </w:rPr>
      <w:t>EN</w:t>
    </w:r>
    <w:r w:rsidRPr="00293DFF">
      <w:rPr>
        <w:rFonts w:ascii="Arial" w:hAnsi="Arial" w:cs="Arial"/>
        <w:b/>
        <w:sz w:val="48"/>
      </w:rPr>
      <w:tab/>
    </w:r>
    <w:r w:rsidRPr="00293DFF">
      <w:rPr>
        <w:rFonts w:ascii="Arial" w:hAnsi="Arial" w:cs="Arial"/>
        <w:b/>
        <w:sz w:val="48"/>
      </w:rPr>
      <w:tab/>
    </w:r>
    <w:r w:rsidRPr="00293DFF">
      <w:tab/>
    </w:r>
    <w:proofErr w:type="spellStart"/>
    <w:r w:rsidRPr="00293DFF">
      <w:rPr>
        <w:rFonts w:ascii="Arial" w:hAnsi="Arial" w:cs="Arial"/>
        <w:b/>
        <w:sz w:val="48"/>
      </w:rPr>
      <w:t>EN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939C2" w14:textId="77777777" w:rsidR="00293DFF" w:rsidRPr="00293DFF" w:rsidRDefault="00293DFF" w:rsidP="00293D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54243" w14:textId="77777777" w:rsidR="00266979" w:rsidRPr="00130539" w:rsidRDefault="00266979" w:rsidP="00220DC8">
      <w:pPr>
        <w:spacing w:before="0" w:after="0"/>
      </w:pPr>
      <w:r w:rsidRPr="00130539">
        <w:separator/>
      </w:r>
    </w:p>
  </w:footnote>
  <w:footnote w:type="continuationSeparator" w:id="0">
    <w:p w14:paraId="5E959660" w14:textId="77777777" w:rsidR="00266979" w:rsidRPr="00130539" w:rsidRDefault="00266979" w:rsidP="00220DC8">
      <w:pPr>
        <w:spacing w:before="0" w:after="0"/>
      </w:pPr>
      <w:r w:rsidRPr="00130539">
        <w:continuationSeparator/>
      </w:r>
    </w:p>
  </w:footnote>
  <w:footnote w:id="1">
    <w:p w14:paraId="54B760BE" w14:textId="7DCBF30F" w:rsidR="005D7AF3" w:rsidRPr="005D7AF3" w:rsidRDefault="005D7AF3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E"/>
        </w:rPr>
        <w:t>OJ L 198, 28.07.2017, p.1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5792F" w14:textId="77777777" w:rsidR="00293DFF" w:rsidRPr="00293DFF" w:rsidRDefault="00293DFF" w:rsidP="00293D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3944308"/>
      <w:docPartObj>
        <w:docPartGallery w:val="Custom Watermarks"/>
        <w:docPartUnique/>
      </w:docPartObj>
    </w:sdtPr>
    <w:sdtContent>
      <w:sdt>
        <w:sdtPr>
          <w:id w:val="1639906031"/>
          <w:lock w:val="contentLocked"/>
          <w:placeholder>
            <w:docPart w:val="C1CACACBE68F4E1AB7D14C2CF8D7EB15"/>
          </w:placeholder>
          <w:group/>
        </w:sdtPr>
        <w:sdtContent>
          <w:p w14:paraId="54FCC206" w14:textId="0FB06355" w:rsidR="00293DFF" w:rsidRPr="00293DFF" w:rsidRDefault="00293DFF" w:rsidP="00293DFF">
            <w:pPr>
              <w:pStyle w:val="Header"/>
            </w:pPr>
            <w:r>
              <w:rPr>
                <w:noProof/>
                <w:lang w:val="en-US"/>
              </w:rPr>
              <w:pict w14:anchorId="2D256C16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Draft_LW" o:spid="_x0000_s20501" type="#_x0000_t136" style="position:absolute;left:0;text-align:left;margin-left:0;margin-top:0;width:402.5pt;height:175.75pt;rotation:315;z-index:251659264;mso-position-horizontal:center;mso-position-horizontal-relative:margin;mso-position-vertical:center;mso-position-vertical-relative:margin" fillcolor="#b2b2b2" stroked="f">
                  <v:fill opacity=".5"/>
                  <v:stroke r:id="rId1" o:title=""/>
                  <v:shadow color="#868686"/>
                  <v:textpath style="font-family:&quot;Arial&quot;;font-size:1pt;v-text-kern:t" trim="t" fitpath="t" string="DRAFT"/>
                  <o:lock v:ext="edit" aspectratio="t"/>
                  <w10:wrap side="largest" anchorx="margin" anchory="margin"/>
                </v:shape>
              </w:pict>
            </w:r>
          </w:p>
        </w:sdtContent>
      </w:sdt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2A21F" w14:textId="77777777" w:rsidR="00293DFF" w:rsidRPr="00293DFF" w:rsidRDefault="00293DFF" w:rsidP="00293D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DCA8CC6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3DB0E3D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BEF2FB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786C29B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2C4836E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D85253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6338BA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467674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7D13EA4"/>
    <w:multiLevelType w:val="hybridMultilevel"/>
    <w:tmpl w:val="BA9A2A22"/>
    <w:lvl w:ilvl="0" w:tplc="715AF0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>
    <w:nsid w:val="7CBE4812"/>
    <w:multiLevelType w:val="singleLevel"/>
    <w:tmpl w:val="3F4252CE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  <w:rPr>
        <w:i w:val="0"/>
      </w:r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3"/>
  </w:num>
  <w:num w:numId="13">
    <w:abstractNumId w:val="21"/>
  </w:num>
  <w:num w:numId="14">
    <w:abstractNumId w:val="12"/>
  </w:num>
  <w:num w:numId="15">
    <w:abstractNumId w:val="14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1"/>
  </w:num>
  <w:num w:numId="23">
    <w:abstractNumId w:val="16"/>
  </w:num>
  <w:num w:numId="24">
    <w:abstractNumId w:val="22"/>
  </w:num>
  <w:num w:numId="25">
    <w:abstractNumId w:val="19"/>
  </w:num>
  <w:num w:numId="26">
    <w:abstractNumId w:val="13"/>
  </w:num>
  <w:num w:numId="27">
    <w:abstractNumId w:val="21"/>
  </w:num>
  <w:num w:numId="28">
    <w:abstractNumId w:val="12"/>
  </w:num>
  <w:num w:numId="29">
    <w:abstractNumId w:val="14"/>
  </w:num>
  <w:num w:numId="30">
    <w:abstractNumId w:val="9"/>
  </w:num>
  <w:num w:numId="31">
    <w:abstractNumId w:val="20"/>
  </w:num>
  <w:num w:numId="32">
    <w:abstractNumId w:val="8"/>
  </w:num>
  <w:num w:numId="33">
    <w:abstractNumId w:val="15"/>
  </w:num>
  <w:num w:numId="34">
    <w:abstractNumId w:val="17"/>
  </w:num>
  <w:num w:numId="35">
    <w:abstractNumId w:val="18"/>
  </w:num>
  <w:num w:numId="36">
    <w:abstractNumId w:val="11"/>
  </w:num>
  <w:num w:numId="37">
    <w:abstractNumId w:val="16"/>
  </w:num>
  <w:num w:numId="38">
    <w:abstractNumId w:val="22"/>
  </w:num>
  <w:num w:numId="39">
    <w:abstractNumId w:val="10"/>
  </w:num>
  <w:num w:numId="40">
    <w:abstractNumId w:val="22"/>
  </w:num>
  <w:num w:numId="41">
    <w:abstractNumId w:val="22"/>
    <w:lvlOverride w:ilvl="0">
      <w:startOverride w:val="1"/>
    </w:lvlOverride>
  </w:num>
  <w:num w:numId="42">
    <w:abstractNumId w:val="22"/>
  </w:num>
  <w:num w:numId="43">
    <w:abstractNumId w:val="22"/>
    <w:lvlOverride w:ilvl="0">
      <w:startOverride w:val="1"/>
    </w:lvlOverride>
  </w:num>
  <w:num w:numId="4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18-06-04 16:09:59"/>
    <w:docVar w:name="DQCRepairStyles" w:val=";Considérant;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CONST_RESTREINT_UE" w:val="RESTREINT UE/EU RESTRICTED"/>
    <w:docVar w:name="LW_COVERPAGE_EXISTS" w:val="True"/>
    <w:docVar w:name="LW_COVERPAGE_GUID" w:val="C9396687-F3D8-4E91-92EA-9723023A77F5"/>
    <w:docVar w:name="LW_COVERPAGE_TYPE" w:val="2"/>
    <w:docVar w:name="LW_CROSSREFERENCE" w:val="&lt;UNUSED&gt;"/>
    <w:docVar w:name="LW_DATE.ADOPT.CP" w:val="of XXX"/>
    <w:docVar w:name="LW_DATE.ADOPT.CP_DATEFORMAT" w:val="of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s,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with EEA relevance)"/>
    <w:docVar w:name="LW_LANGUE" w:val="EN"/>
    <w:docVar w:name="LW_LANGUESFAISANTFOI.CP" w:val="&lt;UNUSED&gt;"/>
    <w:docVar w:name="LW_LEVEL_OF_SENSITIVITY" w:val="Standard treatment"/>
    <w:docVar w:name="LW_NOM.INST" w:val="EUROPEAN COMMISSION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8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establishing the format for registration and reporting of producers of electrical and electronic equipment and the frequency of reporting to the register"/>
    <w:docVar w:name="LW_TYPE.DOC.CP" w:val="COMMISSION IMPLEMENTING REGULATION (EU) \u8230?/..."/>
    <w:docVar w:name="Stamp" w:val="\\dossiers.dgt.cec.eu.int\dossiers\ENV\ENV-2018-00351\ENV-2018-00351-00-00-EN-EDT-00.201805290917426081106.DOCX"/>
  </w:docVars>
  <w:rsids>
    <w:rsidRoot w:val="00220DC8"/>
    <w:rsid w:val="00004D03"/>
    <w:rsid w:val="00006E94"/>
    <w:rsid w:val="00007E7E"/>
    <w:rsid w:val="00020F6E"/>
    <w:rsid w:val="00024F21"/>
    <w:rsid w:val="00027D1C"/>
    <w:rsid w:val="000460E7"/>
    <w:rsid w:val="000749E4"/>
    <w:rsid w:val="000B3CCA"/>
    <w:rsid w:val="000B7EC0"/>
    <w:rsid w:val="000C1D75"/>
    <w:rsid w:val="000D0892"/>
    <w:rsid w:val="000D26FB"/>
    <w:rsid w:val="000D294F"/>
    <w:rsid w:val="000E28BD"/>
    <w:rsid w:val="000E41B4"/>
    <w:rsid w:val="000F6825"/>
    <w:rsid w:val="00116D5A"/>
    <w:rsid w:val="001238A0"/>
    <w:rsid w:val="00126A09"/>
    <w:rsid w:val="00130539"/>
    <w:rsid w:val="001354BE"/>
    <w:rsid w:val="00136202"/>
    <w:rsid w:val="00154E57"/>
    <w:rsid w:val="00170F79"/>
    <w:rsid w:val="001A2541"/>
    <w:rsid w:val="001B33F3"/>
    <w:rsid w:val="001D6363"/>
    <w:rsid w:val="001D6FD6"/>
    <w:rsid w:val="001D7D14"/>
    <w:rsid w:val="001F5F13"/>
    <w:rsid w:val="00220DC8"/>
    <w:rsid w:val="00222424"/>
    <w:rsid w:val="00223D06"/>
    <w:rsid w:val="00224B51"/>
    <w:rsid w:val="0022694A"/>
    <w:rsid w:val="0023240F"/>
    <w:rsid w:val="00237032"/>
    <w:rsid w:val="002614F8"/>
    <w:rsid w:val="00266979"/>
    <w:rsid w:val="00293DFF"/>
    <w:rsid w:val="002C0C3E"/>
    <w:rsid w:val="002C1E08"/>
    <w:rsid w:val="002C39FB"/>
    <w:rsid w:val="002D5B86"/>
    <w:rsid w:val="002E476B"/>
    <w:rsid w:val="002E6913"/>
    <w:rsid w:val="002F0394"/>
    <w:rsid w:val="00352527"/>
    <w:rsid w:val="00374281"/>
    <w:rsid w:val="00385934"/>
    <w:rsid w:val="003A7A8E"/>
    <w:rsid w:val="003B579E"/>
    <w:rsid w:val="003C443F"/>
    <w:rsid w:val="003D1A71"/>
    <w:rsid w:val="003D3739"/>
    <w:rsid w:val="003D7AE0"/>
    <w:rsid w:val="003E61AC"/>
    <w:rsid w:val="003F1A41"/>
    <w:rsid w:val="004048A1"/>
    <w:rsid w:val="004135D3"/>
    <w:rsid w:val="00414167"/>
    <w:rsid w:val="0042206A"/>
    <w:rsid w:val="0046136B"/>
    <w:rsid w:val="004976E0"/>
    <w:rsid w:val="004A0467"/>
    <w:rsid w:val="004A0924"/>
    <w:rsid w:val="004C5F84"/>
    <w:rsid w:val="004D1490"/>
    <w:rsid w:val="004E07D5"/>
    <w:rsid w:val="004E467A"/>
    <w:rsid w:val="00520CEB"/>
    <w:rsid w:val="0052722F"/>
    <w:rsid w:val="005279DF"/>
    <w:rsid w:val="005362CE"/>
    <w:rsid w:val="00542927"/>
    <w:rsid w:val="00547C72"/>
    <w:rsid w:val="0056649C"/>
    <w:rsid w:val="00567AE0"/>
    <w:rsid w:val="00595975"/>
    <w:rsid w:val="005B1265"/>
    <w:rsid w:val="005D17E4"/>
    <w:rsid w:val="005D7AF3"/>
    <w:rsid w:val="005E66CE"/>
    <w:rsid w:val="005F06DB"/>
    <w:rsid w:val="005F13C6"/>
    <w:rsid w:val="005F7CA6"/>
    <w:rsid w:val="006108C1"/>
    <w:rsid w:val="006456CD"/>
    <w:rsid w:val="0065287F"/>
    <w:rsid w:val="00670475"/>
    <w:rsid w:val="006705B4"/>
    <w:rsid w:val="00681842"/>
    <w:rsid w:val="006904F0"/>
    <w:rsid w:val="006B7D0D"/>
    <w:rsid w:val="006C1683"/>
    <w:rsid w:val="006C2309"/>
    <w:rsid w:val="006C742A"/>
    <w:rsid w:val="006E0D9F"/>
    <w:rsid w:val="006E390C"/>
    <w:rsid w:val="006E4D2C"/>
    <w:rsid w:val="006F23A9"/>
    <w:rsid w:val="006F4D49"/>
    <w:rsid w:val="006F551D"/>
    <w:rsid w:val="006F7FC3"/>
    <w:rsid w:val="00706880"/>
    <w:rsid w:val="00712D26"/>
    <w:rsid w:val="00717229"/>
    <w:rsid w:val="007375D4"/>
    <w:rsid w:val="00766DC5"/>
    <w:rsid w:val="007977D6"/>
    <w:rsid w:val="007A27F5"/>
    <w:rsid w:val="007A3182"/>
    <w:rsid w:val="007B112A"/>
    <w:rsid w:val="007D178B"/>
    <w:rsid w:val="007D542C"/>
    <w:rsid w:val="007E25AE"/>
    <w:rsid w:val="007E41AB"/>
    <w:rsid w:val="008068E6"/>
    <w:rsid w:val="00806B75"/>
    <w:rsid w:val="0081609C"/>
    <w:rsid w:val="00822556"/>
    <w:rsid w:val="00827475"/>
    <w:rsid w:val="00827EAC"/>
    <w:rsid w:val="00830384"/>
    <w:rsid w:val="00831564"/>
    <w:rsid w:val="00856A5A"/>
    <w:rsid w:val="00862AC6"/>
    <w:rsid w:val="00874BDC"/>
    <w:rsid w:val="00877878"/>
    <w:rsid w:val="00886F23"/>
    <w:rsid w:val="0089283F"/>
    <w:rsid w:val="008A287D"/>
    <w:rsid w:val="008B05C7"/>
    <w:rsid w:val="008E2205"/>
    <w:rsid w:val="008E66C7"/>
    <w:rsid w:val="008F446C"/>
    <w:rsid w:val="00915E59"/>
    <w:rsid w:val="009167CF"/>
    <w:rsid w:val="00930890"/>
    <w:rsid w:val="00930E43"/>
    <w:rsid w:val="00931992"/>
    <w:rsid w:val="00931EFF"/>
    <w:rsid w:val="00932344"/>
    <w:rsid w:val="00945DF2"/>
    <w:rsid w:val="00950743"/>
    <w:rsid w:val="00965E33"/>
    <w:rsid w:val="009700D5"/>
    <w:rsid w:val="0097757E"/>
    <w:rsid w:val="009908F1"/>
    <w:rsid w:val="0099652C"/>
    <w:rsid w:val="009A01E7"/>
    <w:rsid w:val="009B52F0"/>
    <w:rsid w:val="009C3733"/>
    <w:rsid w:val="009C4B31"/>
    <w:rsid w:val="009D68CB"/>
    <w:rsid w:val="00A041AE"/>
    <w:rsid w:val="00A14892"/>
    <w:rsid w:val="00A5084D"/>
    <w:rsid w:val="00A82D85"/>
    <w:rsid w:val="00AB4E88"/>
    <w:rsid w:val="00AD5AD4"/>
    <w:rsid w:val="00AD5AF5"/>
    <w:rsid w:val="00AF4AA6"/>
    <w:rsid w:val="00AF74BB"/>
    <w:rsid w:val="00B13A5C"/>
    <w:rsid w:val="00B30C25"/>
    <w:rsid w:val="00B32729"/>
    <w:rsid w:val="00B34154"/>
    <w:rsid w:val="00B76F50"/>
    <w:rsid w:val="00B94304"/>
    <w:rsid w:val="00B94FFF"/>
    <w:rsid w:val="00B97745"/>
    <w:rsid w:val="00BB0D98"/>
    <w:rsid w:val="00BC0424"/>
    <w:rsid w:val="00BC4C19"/>
    <w:rsid w:val="00BC725C"/>
    <w:rsid w:val="00BE63BD"/>
    <w:rsid w:val="00BF29F4"/>
    <w:rsid w:val="00BF4B00"/>
    <w:rsid w:val="00C072F9"/>
    <w:rsid w:val="00C35EB7"/>
    <w:rsid w:val="00C36E0D"/>
    <w:rsid w:val="00C43D4C"/>
    <w:rsid w:val="00C45F8C"/>
    <w:rsid w:val="00C66E91"/>
    <w:rsid w:val="00C80A53"/>
    <w:rsid w:val="00C86D5A"/>
    <w:rsid w:val="00C8738A"/>
    <w:rsid w:val="00CA2920"/>
    <w:rsid w:val="00CB3E81"/>
    <w:rsid w:val="00CC4E5A"/>
    <w:rsid w:val="00CD1275"/>
    <w:rsid w:val="00CD5FE4"/>
    <w:rsid w:val="00CE0A97"/>
    <w:rsid w:val="00CE10A5"/>
    <w:rsid w:val="00CE17FE"/>
    <w:rsid w:val="00D00ABC"/>
    <w:rsid w:val="00D03725"/>
    <w:rsid w:val="00D03A57"/>
    <w:rsid w:val="00D077CF"/>
    <w:rsid w:val="00D10423"/>
    <w:rsid w:val="00D3487D"/>
    <w:rsid w:val="00D36C22"/>
    <w:rsid w:val="00D40976"/>
    <w:rsid w:val="00D41A59"/>
    <w:rsid w:val="00D51A00"/>
    <w:rsid w:val="00D6560A"/>
    <w:rsid w:val="00D7105A"/>
    <w:rsid w:val="00D726DD"/>
    <w:rsid w:val="00D8014C"/>
    <w:rsid w:val="00D86243"/>
    <w:rsid w:val="00DB6ADD"/>
    <w:rsid w:val="00DE59AF"/>
    <w:rsid w:val="00DF3F6A"/>
    <w:rsid w:val="00DF4949"/>
    <w:rsid w:val="00E01B05"/>
    <w:rsid w:val="00E03015"/>
    <w:rsid w:val="00E111C0"/>
    <w:rsid w:val="00E1313B"/>
    <w:rsid w:val="00E15B79"/>
    <w:rsid w:val="00E22040"/>
    <w:rsid w:val="00E2276D"/>
    <w:rsid w:val="00E2277D"/>
    <w:rsid w:val="00E30F6F"/>
    <w:rsid w:val="00E447F8"/>
    <w:rsid w:val="00E52C8A"/>
    <w:rsid w:val="00E77EC9"/>
    <w:rsid w:val="00EA7645"/>
    <w:rsid w:val="00EB62BE"/>
    <w:rsid w:val="00ED7A78"/>
    <w:rsid w:val="00EF17AD"/>
    <w:rsid w:val="00F22BF0"/>
    <w:rsid w:val="00F25EB9"/>
    <w:rsid w:val="00F308DB"/>
    <w:rsid w:val="00F50828"/>
    <w:rsid w:val="00F54D5A"/>
    <w:rsid w:val="00F56A72"/>
    <w:rsid w:val="00F56AA7"/>
    <w:rsid w:val="00F71DBF"/>
    <w:rsid w:val="00F81DB9"/>
    <w:rsid w:val="00FA1296"/>
    <w:rsid w:val="00FE09E2"/>
    <w:rsid w:val="00FE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2"/>
    <o:shapelayout v:ext="edit">
      <o:idmap v:ext="edit" data="1"/>
    </o:shapelayout>
  </w:shapeDefaults>
  <w:decimalSymbol w:val="."/>
  <w:listSeparator w:val=";"/>
  <w14:docId w14:val="33DA0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490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276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E2276D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E2276D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2276D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2276D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2276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276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2276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2276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2276D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62A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A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AC6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A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AC6"/>
    <w:rPr>
      <w:rFonts w:ascii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62A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AC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AC6"/>
    <w:rPr>
      <w:rFonts w:ascii="Tahoma" w:hAnsi="Tahoma" w:cs="Tahoma"/>
      <w:sz w:val="16"/>
      <w:szCs w:val="16"/>
      <w:lang w:val="en-GB"/>
    </w:r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styleId="Revision">
    <w:name w:val="Revision"/>
    <w:hidden/>
    <w:uiPriority w:val="99"/>
    <w:semiHidden/>
    <w:rsid w:val="0023240F"/>
    <w:pPr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25"/>
      </w:numPr>
    </w:pPr>
  </w:style>
  <w:style w:type="paragraph" w:customStyle="1" w:styleId="Tiret1">
    <w:name w:val="Tiret 1"/>
    <w:basedOn w:val="Point1"/>
    <w:rsid w:val="00877878"/>
    <w:pPr>
      <w:numPr>
        <w:numId w:val="26"/>
      </w:numPr>
    </w:pPr>
  </w:style>
  <w:style w:type="paragraph" w:customStyle="1" w:styleId="Tiret2">
    <w:name w:val="Tiret 2"/>
    <w:basedOn w:val="Point2"/>
    <w:rsid w:val="00877878"/>
    <w:pPr>
      <w:numPr>
        <w:numId w:val="27"/>
      </w:numPr>
    </w:pPr>
  </w:style>
  <w:style w:type="paragraph" w:customStyle="1" w:styleId="Tiret3">
    <w:name w:val="Tiret 3"/>
    <w:basedOn w:val="Point3"/>
    <w:rsid w:val="00877878"/>
    <w:pPr>
      <w:numPr>
        <w:numId w:val="28"/>
      </w:numPr>
    </w:pPr>
  </w:style>
  <w:style w:type="paragraph" w:customStyle="1" w:styleId="Tiret4">
    <w:name w:val="Tiret 4"/>
    <w:basedOn w:val="Point4"/>
    <w:rsid w:val="00877878"/>
    <w:pPr>
      <w:numPr>
        <w:numId w:val="29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32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877878"/>
    <w:pPr>
      <w:numPr>
        <w:numId w:val="33"/>
      </w:numPr>
    </w:pPr>
  </w:style>
  <w:style w:type="paragraph" w:customStyle="1" w:styleId="Bullet1">
    <w:name w:val="Bullet 1"/>
    <w:basedOn w:val="Normal"/>
    <w:rsid w:val="00877878"/>
    <w:pPr>
      <w:numPr>
        <w:numId w:val="34"/>
      </w:numPr>
    </w:pPr>
  </w:style>
  <w:style w:type="paragraph" w:customStyle="1" w:styleId="Bullet2">
    <w:name w:val="Bullet 2"/>
    <w:basedOn w:val="Normal"/>
    <w:rsid w:val="00877878"/>
    <w:pPr>
      <w:numPr>
        <w:numId w:val="35"/>
      </w:numPr>
    </w:pPr>
  </w:style>
  <w:style w:type="paragraph" w:customStyle="1" w:styleId="Bullet3">
    <w:name w:val="Bullet 3"/>
    <w:basedOn w:val="Normal"/>
    <w:rsid w:val="00877878"/>
    <w:pPr>
      <w:numPr>
        <w:numId w:val="36"/>
      </w:numPr>
    </w:pPr>
  </w:style>
  <w:style w:type="paragraph" w:customStyle="1" w:styleId="Bullet4">
    <w:name w:val="Bullet 4"/>
    <w:basedOn w:val="Normal"/>
    <w:rsid w:val="00877878"/>
    <w:pPr>
      <w:numPr>
        <w:numId w:val="37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490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276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E2276D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E2276D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2276D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2276D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2276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276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2276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2276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2276D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62A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A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AC6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A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AC6"/>
    <w:rPr>
      <w:rFonts w:ascii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62A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AC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AC6"/>
    <w:rPr>
      <w:rFonts w:ascii="Tahoma" w:hAnsi="Tahoma" w:cs="Tahoma"/>
      <w:sz w:val="16"/>
      <w:szCs w:val="16"/>
      <w:lang w:val="en-GB"/>
    </w:r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styleId="Revision">
    <w:name w:val="Revision"/>
    <w:hidden/>
    <w:uiPriority w:val="99"/>
    <w:semiHidden/>
    <w:rsid w:val="0023240F"/>
    <w:pPr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7787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78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87787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778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778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8778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25"/>
      </w:numPr>
    </w:pPr>
  </w:style>
  <w:style w:type="paragraph" w:customStyle="1" w:styleId="Tiret1">
    <w:name w:val="Tiret 1"/>
    <w:basedOn w:val="Point1"/>
    <w:rsid w:val="00877878"/>
    <w:pPr>
      <w:numPr>
        <w:numId w:val="26"/>
      </w:numPr>
    </w:pPr>
  </w:style>
  <w:style w:type="paragraph" w:customStyle="1" w:styleId="Tiret2">
    <w:name w:val="Tiret 2"/>
    <w:basedOn w:val="Point2"/>
    <w:rsid w:val="00877878"/>
    <w:pPr>
      <w:numPr>
        <w:numId w:val="27"/>
      </w:numPr>
    </w:pPr>
  </w:style>
  <w:style w:type="paragraph" w:customStyle="1" w:styleId="Tiret3">
    <w:name w:val="Tiret 3"/>
    <w:basedOn w:val="Point3"/>
    <w:rsid w:val="00877878"/>
    <w:pPr>
      <w:numPr>
        <w:numId w:val="28"/>
      </w:numPr>
    </w:pPr>
  </w:style>
  <w:style w:type="paragraph" w:customStyle="1" w:styleId="Tiret4">
    <w:name w:val="Tiret 4"/>
    <w:basedOn w:val="Point4"/>
    <w:rsid w:val="00877878"/>
    <w:pPr>
      <w:numPr>
        <w:numId w:val="29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32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877878"/>
    <w:pPr>
      <w:numPr>
        <w:numId w:val="33"/>
      </w:numPr>
    </w:pPr>
  </w:style>
  <w:style w:type="paragraph" w:customStyle="1" w:styleId="Bullet1">
    <w:name w:val="Bullet 1"/>
    <w:basedOn w:val="Normal"/>
    <w:rsid w:val="00877878"/>
    <w:pPr>
      <w:numPr>
        <w:numId w:val="34"/>
      </w:numPr>
    </w:pPr>
  </w:style>
  <w:style w:type="paragraph" w:customStyle="1" w:styleId="Bullet2">
    <w:name w:val="Bullet 2"/>
    <w:basedOn w:val="Normal"/>
    <w:rsid w:val="00877878"/>
    <w:pPr>
      <w:numPr>
        <w:numId w:val="35"/>
      </w:numPr>
    </w:pPr>
  </w:style>
  <w:style w:type="paragraph" w:customStyle="1" w:styleId="Bullet3">
    <w:name w:val="Bullet 3"/>
    <w:basedOn w:val="Normal"/>
    <w:rsid w:val="00877878"/>
    <w:pPr>
      <w:numPr>
        <w:numId w:val="36"/>
      </w:numPr>
    </w:pPr>
  </w:style>
  <w:style w:type="paragraph" w:customStyle="1" w:styleId="Bullet4">
    <w:name w:val="Bullet 4"/>
    <w:basedOn w:val="Normal"/>
    <w:rsid w:val="00877878"/>
    <w:pPr>
      <w:numPr>
        <w:numId w:val="37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5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D62"/>
    <w:rsid w:val="007B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6D62"/>
    <w:rPr>
      <w:color w:val="808080"/>
    </w:rPr>
  </w:style>
  <w:style w:type="paragraph" w:customStyle="1" w:styleId="C1CACACBE68F4E1AB7D14C2CF8D7EB15">
    <w:name w:val="C1CACACBE68F4E1AB7D14C2CF8D7EB15"/>
    <w:rsid w:val="007B6D6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6D62"/>
    <w:rPr>
      <w:color w:val="808080"/>
    </w:rPr>
  </w:style>
  <w:style w:type="paragraph" w:customStyle="1" w:styleId="C1CACACBE68F4E1AB7D14C2CF8D7EB15">
    <w:name w:val="C1CACACBE68F4E1AB7D14C2CF8D7EB15"/>
    <w:rsid w:val="007B6D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F8BF4-7E03-4BC6-9C9C-BC66854D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7</TotalTime>
  <Pages>2</Pages>
  <Words>595</Words>
  <Characters>3063</Characters>
  <Application>Microsoft Office Word</Application>
  <DocSecurity>0</DocSecurity>
  <Lines>68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BANTI Maria (ENV)</dc:creator>
  <cp:lastModifiedBy>DQC</cp:lastModifiedBy>
  <cp:revision>2</cp:revision>
  <cp:lastPrinted>2018-10-08T13:31:00Z</cp:lastPrinted>
  <dcterms:created xsi:type="dcterms:W3CDTF">2018-10-08T13:38:00Z</dcterms:created>
  <dcterms:modified xsi:type="dcterms:W3CDTF">2018-10-08T13:38:00Z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6.0.1.0</vt:lpwstr>
  </property>
  <property fmtid="{D5CDD505-2E9C-101B-9397-08002B2CF9AE}" pid="4" name="Last edited using">
    <vt:lpwstr>LW 6.0.1, Build 20180503</vt:lpwstr>
  </property>
  <property fmtid="{D5CDD505-2E9C-101B-9397-08002B2CF9AE}" pid="5" name="Created using">
    <vt:lpwstr>LW 6.0, Build 20171009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Yellow (DQC version 03)</vt:lpwstr>
  </property>
</Properties>
</file>