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66F0D" w14:textId="77777777" w:rsidR="00A259A6" w:rsidRPr="00B85AFC" w:rsidRDefault="00A259A6" w:rsidP="00CF19FA">
      <w:pPr>
        <w:jc w:val="center"/>
        <w:rPr>
          <w:b/>
          <w:u w:val="single"/>
        </w:rPr>
      </w:pPr>
      <w:r>
        <w:rPr>
          <w:b/>
          <w:u w:val="single"/>
        </w:rPr>
        <w:t xml:space="preserve">Discussion paper: </w:t>
      </w:r>
      <w:r w:rsidR="00A96530">
        <w:rPr>
          <w:b/>
          <w:u w:val="single"/>
        </w:rPr>
        <w:t xml:space="preserve">Should the consumer be able to compare the energy efficiencies of local space heaters </w:t>
      </w:r>
      <w:r w:rsidR="004914E4" w:rsidRPr="00CF19FA">
        <w:rPr>
          <w:b/>
          <w:u w:val="single"/>
        </w:rPr>
        <w:t>≤ 50 kW</w:t>
      </w:r>
      <w:r w:rsidR="004914E4">
        <w:rPr>
          <w:b/>
          <w:u w:val="single"/>
        </w:rPr>
        <w:t xml:space="preserve"> </w:t>
      </w:r>
      <w:r w:rsidR="00A96530">
        <w:rPr>
          <w:b/>
          <w:u w:val="single"/>
        </w:rPr>
        <w:t xml:space="preserve">and air-to-air heat pumps </w:t>
      </w:r>
      <w:r w:rsidR="004914E4" w:rsidRPr="00CF19FA">
        <w:rPr>
          <w:b/>
          <w:u w:val="single"/>
        </w:rPr>
        <w:t>≤ 12 kW</w:t>
      </w:r>
      <w:r w:rsidR="004914E4">
        <w:rPr>
          <w:b/>
          <w:u w:val="single"/>
        </w:rPr>
        <w:t xml:space="preserve"> by means of</w:t>
      </w:r>
      <w:r w:rsidR="00A96530">
        <w:rPr>
          <w:b/>
          <w:u w:val="single"/>
        </w:rPr>
        <w:t xml:space="preserve"> the energy label?</w:t>
      </w:r>
    </w:p>
    <w:p w14:paraId="6C7F3E5B" w14:textId="77777777" w:rsidR="00D057DD" w:rsidRDefault="00A96530" w:rsidP="001F378C">
      <w:pPr>
        <w:jc w:val="both"/>
      </w:pPr>
      <w:r>
        <w:t xml:space="preserve">Today, </w:t>
      </w:r>
      <w:r w:rsidR="003A17A9">
        <w:t xml:space="preserve">the requirements on </w:t>
      </w:r>
      <w:r>
        <w:t xml:space="preserve">space heaters that heat air by means of combustion of solid, liquid or solid fuel, by means of the Joule effect or by the </w:t>
      </w:r>
      <w:r w:rsidR="00D057DD">
        <w:t>capturing heat from ambient air by means of a vapour compression cycle or sorption cycle are scatt</w:t>
      </w:r>
      <w:r w:rsidR="004914E4">
        <w:t xml:space="preserve">ered over different Ecodesign and Energy Labelling Regulations. Ecodesign Regulations typically cover products ranging from residential to commercial or even industrial, Energy Labelling Regulations typically only cover residential products. </w:t>
      </w:r>
    </w:p>
    <w:tbl>
      <w:tblPr>
        <w:tblStyle w:val="TableGrid"/>
        <w:tblW w:w="5000" w:type="pct"/>
        <w:tblLook w:val="04A0" w:firstRow="1" w:lastRow="0" w:firstColumn="1" w:lastColumn="0" w:noHBand="0" w:noVBand="1"/>
      </w:tblPr>
      <w:tblGrid>
        <w:gridCol w:w="3022"/>
        <w:gridCol w:w="3021"/>
        <w:gridCol w:w="3019"/>
      </w:tblGrid>
      <w:tr w:rsidR="00D057DD" w:rsidRPr="00CF19FA" w14:paraId="2C8DF62B" w14:textId="77777777" w:rsidTr="00CF19FA">
        <w:tc>
          <w:tcPr>
            <w:tcW w:w="1667" w:type="pct"/>
            <w:vAlign w:val="center"/>
          </w:tcPr>
          <w:p w14:paraId="68882AD5" w14:textId="77777777" w:rsidR="00D057DD" w:rsidRPr="00CF19FA" w:rsidRDefault="00D057DD" w:rsidP="00CF19FA"/>
        </w:tc>
        <w:tc>
          <w:tcPr>
            <w:tcW w:w="1667" w:type="pct"/>
            <w:vAlign w:val="center"/>
          </w:tcPr>
          <w:p w14:paraId="4AE01E4C" w14:textId="77777777" w:rsidR="00D057DD" w:rsidRPr="00CF19FA" w:rsidRDefault="00D057DD" w:rsidP="00CF19FA">
            <w:r w:rsidRPr="00CF19FA">
              <w:t>Ecodesign Regulations</w:t>
            </w:r>
          </w:p>
        </w:tc>
        <w:tc>
          <w:tcPr>
            <w:tcW w:w="1666" w:type="pct"/>
            <w:vAlign w:val="center"/>
          </w:tcPr>
          <w:p w14:paraId="12F71930" w14:textId="77777777" w:rsidR="00D057DD" w:rsidRPr="00CF19FA" w:rsidRDefault="00D057DD" w:rsidP="00CF19FA">
            <w:r w:rsidRPr="00CF19FA">
              <w:t>Energy labelling Regulations</w:t>
            </w:r>
          </w:p>
        </w:tc>
      </w:tr>
      <w:tr w:rsidR="00D057DD" w:rsidRPr="00CF19FA" w14:paraId="76A06C49" w14:textId="77777777" w:rsidTr="00CF19FA">
        <w:tc>
          <w:tcPr>
            <w:tcW w:w="1667" w:type="pct"/>
            <w:vAlign w:val="center"/>
          </w:tcPr>
          <w:p w14:paraId="5D299E25" w14:textId="77777777" w:rsidR="00D057DD" w:rsidRPr="00CF19FA" w:rsidRDefault="00D057DD" w:rsidP="00CF19FA">
            <w:r w:rsidRPr="00CF19FA">
              <w:t xml:space="preserve">Air-to-air heat pumps </w:t>
            </w:r>
            <w:r w:rsidRPr="00CF19FA">
              <w:rPr>
                <w:rFonts w:cstheme="minorHAnsi"/>
              </w:rPr>
              <w:t>≤</w:t>
            </w:r>
            <w:r w:rsidRPr="00CF19FA">
              <w:t xml:space="preserve"> 12 kW</w:t>
            </w:r>
          </w:p>
        </w:tc>
        <w:tc>
          <w:tcPr>
            <w:tcW w:w="1667" w:type="pct"/>
            <w:vAlign w:val="center"/>
          </w:tcPr>
          <w:p w14:paraId="20A4D912" w14:textId="77777777" w:rsidR="00D057DD" w:rsidRPr="00CF19FA" w:rsidRDefault="00D057DD" w:rsidP="00CF19FA">
            <w:r w:rsidRPr="00CF19FA">
              <w:t>(EU) No 206/2012</w:t>
            </w:r>
            <w:r w:rsidRPr="00CF19FA">
              <w:rPr>
                <w:rStyle w:val="FootnoteReference"/>
              </w:rPr>
              <w:footnoteReference w:id="1"/>
            </w:r>
          </w:p>
        </w:tc>
        <w:tc>
          <w:tcPr>
            <w:tcW w:w="1666" w:type="pct"/>
            <w:vAlign w:val="center"/>
          </w:tcPr>
          <w:p w14:paraId="6F284308" w14:textId="77777777" w:rsidR="00D057DD" w:rsidRPr="00CF19FA" w:rsidRDefault="00D057DD" w:rsidP="00CF19FA">
            <w:r w:rsidRPr="00CF19FA">
              <w:t>(EU) No 626/2011</w:t>
            </w:r>
            <w:r w:rsidRPr="00CF19FA">
              <w:rPr>
                <w:rStyle w:val="FootnoteReference"/>
              </w:rPr>
              <w:footnoteReference w:id="2"/>
            </w:r>
          </w:p>
        </w:tc>
      </w:tr>
      <w:tr w:rsidR="00A37C28" w:rsidRPr="00CF19FA" w14:paraId="25FA38CB" w14:textId="77777777" w:rsidTr="00CF19FA">
        <w:trPr>
          <w:trHeight w:val="265"/>
        </w:trPr>
        <w:tc>
          <w:tcPr>
            <w:tcW w:w="1667" w:type="pct"/>
            <w:vAlign w:val="center"/>
          </w:tcPr>
          <w:p w14:paraId="03671965" w14:textId="77777777" w:rsidR="00A37C28" w:rsidRPr="00CF19FA" w:rsidRDefault="00A37C28" w:rsidP="00CF19FA">
            <w:r w:rsidRPr="00CF19FA">
              <w:t>Air-to-air heat pumps &gt; 12 kW</w:t>
            </w:r>
          </w:p>
        </w:tc>
        <w:tc>
          <w:tcPr>
            <w:tcW w:w="1667" w:type="pct"/>
            <w:vAlign w:val="center"/>
          </w:tcPr>
          <w:p w14:paraId="2545E852" w14:textId="77777777" w:rsidR="00A37C28" w:rsidRPr="00CF19FA" w:rsidRDefault="00A37C28" w:rsidP="00CF19FA">
            <w:r w:rsidRPr="00CF19FA">
              <w:t>(EU) 2016/2281</w:t>
            </w:r>
            <w:r w:rsidRPr="00CF19FA">
              <w:rPr>
                <w:rStyle w:val="FootnoteReference"/>
              </w:rPr>
              <w:footnoteReference w:id="3"/>
            </w:r>
          </w:p>
        </w:tc>
        <w:tc>
          <w:tcPr>
            <w:tcW w:w="1666" w:type="pct"/>
            <w:vAlign w:val="center"/>
          </w:tcPr>
          <w:p w14:paraId="05EE6736" w14:textId="77777777" w:rsidR="00A37C28" w:rsidRPr="00CF19FA" w:rsidRDefault="00A37C28" w:rsidP="00CF19FA">
            <w:r w:rsidRPr="00CF19FA">
              <w:t>N.A.</w:t>
            </w:r>
          </w:p>
        </w:tc>
      </w:tr>
      <w:tr w:rsidR="00A37C28" w:rsidRPr="00CF19FA" w14:paraId="4AFC6993" w14:textId="77777777" w:rsidTr="00CF19FA">
        <w:trPr>
          <w:trHeight w:val="265"/>
        </w:trPr>
        <w:tc>
          <w:tcPr>
            <w:tcW w:w="1667" w:type="pct"/>
            <w:vAlign w:val="center"/>
          </w:tcPr>
          <w:p w14:paraId="0B6183BD" w14:textId="77777777" w:rsidR="00A37C28" w:rsidRPr="00CF19FA" w:rsidRDefault="00A37C28" w:rsidP="00CF19FA">
            <w:r w:rsidRPr="00CF19FA">
              <w:t xml:space="preserve">Warm air heaters </w:t>
            </w:r>
          </w:p>
        </w:tc>
        <w:tc>
          <w:tcPr>
            <w:tcW w:w="1667" w:type="pct"/>
            <w:vAlign w:val="center"/>
          </w:tcPr>
          <w:p w14:paraId="3707A1C8" w14:textId="77777777" w:rsidR="00A37C28" w:rsidRPr="00CF19FA" w:rsidRDefault="00A37C28" w:rsidP="00CF19FA">
            <w:r w:rsidRPr="00CF19FA">
              <w:t>(EU) 2016/2281</w:t>
            </w:r>
            <w:r w:rsidRPr="00CF19FA">
              <w:rPr>
                <w:rStyle w:val="FootnoteReference"/>
              </w:rPr>
              <w:footnoteReference w:id="4"/>
            </w:r>
          </w:p>
        </w:tc>
        <w:tc>
          <w:tcPr>
            <w:tcW w:w="1666" w:type="pct"/>
            <w:vAlign w:val="center"/>
          </w:tcPr>
          <w:p w14:paraId="3AD6515E" w14:textId="77777777" w:rsidR="00A37C28" w:rsidRPr="00CF19FA" w:rsidRDefault="00A37C28" w:rsidP="00CF19FA">
            <w:r w:rsidRPr="00CF19FA">
              <w:t>N.A.</w:t>
            </w:r>
          </w:p>
        </w:tc>
      </w:tr>
      <w:tr w:rsidR="00A37C28" w:rsidRPr="00CF19FA" w14:paraId="11735A3E" w14:textId="77777777" w:rsidTr="00CF19FA">
        <w:trPr>
          <w:trHeight w:val="265"/>
        </w:trPr>
        <w:tc>
          <w:tcPr>
            <w:tcW w:w="1667" w:type="pct"/>
            <w:vMerge w:val="restart"/>
            <w:vAlign w:val="center"/>
          </w:tcPr>
          <w:p w14:paraId="506B11DB" w14:textId="77777777" w:rsidR="00A37C28" w:rsidRPr="00CF19FA" w:rsidRDefault="00A37C28" w:rsidP="00CF19FA">
            <w:r w:rsidRPr="00CF19FA">
              <w:t xml:space="preserve">Local space heaters </w:t>
            </w:r>
            <w:r w:rsidRPr="00CF19FA">
              <w:rPr>
                <w:rFonts w:cstheme="minorHAnsi"/>
              </w:rPr>
              <w:t>≤</w:t>
            </w:r>
            <w:r w:rsidRPr="00CF19FA">
              <w:t xml:space="preserve"> 50 kW</w:t>
            </w:r>
          </w:p>
        </w:tc>
        <w:tc>
          <w:tcPr>
            <w:tcW w:w="1667" w:type="pct"/>
            <w:vAlign w:val="center"/>
          </w:tcPr>
          <w:p w14:paraId="3698D627" w14:textId="77777777" w:rsidR="00A37C28" w:rsidRPr="00CF19FA" w:rsidRDefault="00A37C28" w:rsidP="00CF19FA">
            <w:r w:rsidRPr="00CF19FA">
              <w:t>(EU) 2015/1185</w:t>
            </w:r>
            <w:r w:rsidRPr="00CF19FA">
              <w:rPr>
                <w:rStyle w:val="FootnoteReference"/>
              </w:rPr>
              <w:footnoteReference w:id="5"/>
            </w:r>
          </w:p>
        </w:tc>
        <w:tc>
          <w:tcPr>
            <w:tcW w:w="1666" w:type="pct"/>
            <w:vMerge w:val="restart"/>
            <w:vAlign w:val="center"/>
          </w:tcPr>
          <w:p w14:paraId="205C569C" w14:textId="77777777" w:rsidR="00A37C28" w:rsidRPr="00CF19FA" w:rsidRDefault="00A37C28" w:rsidP="00CF19FA">
            <w:r w:rsidRPr="00CF19FA">
              <w:t>(EU) 2015/1186</w:t>
            </w:r>
            <w:r w:rsidRPr="00CF19FA">
              <w:rPr>
                <w:rStyle w:val="FootnoteReference"/>
              </w:rPr>
              <w:footnoteReference w:id="6"/>
            </w:r>
          </w:p>
        </w:tc>
      </w:tr>
      <w:tr w:rsidR="00A37C28" w:rsidRPr="00CF19FA" w14:paraId="79228592" w14:textId="77777777" w:rsidTr="00CF19FA">
        <w:trPr>
          <w:trHeight w:val="265"/>
        </w:trPr>
        <w:tc>
          <w:tcPr>
            <w:tcW w:w="1667" w:type="pct"/>
            <w:vMerge/>
            <w:vAlign w:val="center"/>
          </w:tcPr>
          <w:p w14:paraId="1159BF83" w14:textId="77777777" w:rsidR="00A37C28" w:rsidRPr="00CF19FA" w:rsidRDefault="00A37C28" w:rsidP="006626D2"/>
        </w:tc>
        <w:tc>
          <w:tcPr>
            <w:tcW w:w="1667" w:type="pct"/>
            <w:vAlign w:val="center"/>
          </w:tcPr>
          <w:p w14:paraId="3B14C6E7" w14:textId="77777777" w:rsidR="00A37C28" w:rsidRPr="00CF19FA" w:rsidRDefault="00A37C28" w:rsidP="006626D2">
            <w:r w:rsidRPr="00CF19FA">
              <w:t>(EU) 2015/1188</w:t>
            </w:r>
            <w:r w:rsidRPr="00CF19FA">
              <w:rPr>
                <w:rStyle w:val="FootnoteReference"/>
              </w:rPr>
              <w:footnoteReference w:id="7"/>
            </w:r>
          </w:p>
        </w:tc>
        <w:tc>
          <w:tcPr>
            <w:tcW w:w="1666" w:type="pct"/>
            <w:vMerge/>
            <w:vAlign w:val="center"/>
          </w:tcPr>
          <w:p w14:paraId="271F5C3E" w14:textId="77777777" w:rsidR="00A37C28" w:rsidRPr="00CF19FA" w:rsidRDefault="00A37C28" w:rsidP="006626D2"/>
        </w:tc>
      </w:tr>
      <w:tr w:rsidR="00A37C28" w:rsidRPr="00CF19FA" w14:paraId="01D5446C" w14:textId="77777777" w:rsidTr="00CF19FA">
        <w:trPr>
          <w:trHeight w:val="265"/>
        </w:trPr>
        <w:tc>
          <w:tcPr>
            <w:tcW w:w="1667" w:type="pct"/>
            <w:vMerge w:val="restart"/>
            <w:vAlign w:val="center"/>
          </w:tcPr>
          <w:p w14:paraId="3C6B2415" w14:textId="77777777" w:rsidR="00A37C28" w:rsidRPr="00CF19FA" w:rsidRDefault="00A37C28" w:rsidP="00CF19FA">
            <w:r w:rsidRPr="00CF19FA">
              <w:t xml:space="preserve">Local space heaters </w:t>
            </w:r>
            <w:r w:rsidRPr="00CF19FA">
              <w:rPr>
                <w:rFonts w:cstheme="minorHAnsi"/>
              </w:rPr>
              <w:t>≤</w:t>
            </w:r>
            <w:r w:rsidRPr="00CF19FA">
              <w:t xml:space="preserve"> 120 kW</w:t>
            </w:r>
          </w:p>
        </w:tc>
        <w:tc>
          <w:tcPr>
            <w:tcW w:w="1667" w:type="pct"/>
            <w:vAlign w:val="center"/>
          </w:tcPr>
          <w:p w14:paraId="7553FEC9" w14:textId="77777777" w:rsidR="00A37C28" w:rsidRPr="00CF19FA" w:rsidRDefault="00A37C28" w:rsidP="00CF19FA">
            <w:r w:rsidRPr="00CF19FA">
              <w:t>(EU) 2015/1185</w:t>
            </w:r>
            <w:r w:rsidRPr="00CF19FA">
              <w:rPr>
                <w:rStyle w:val="FootnoteReference"/>
              </w:rPr>
              <w:footnoteReference w:id="8"/>
            </w:r>
          </w:p>
        </w:tc>
        <w:tc>
          <w:tcPr>
            <w:tcW w:w="1666" w:type="pct"/>
            <w:vMerge w:val="restart"/>
            <w:vAlign w:val="center"/>
          </w:tcPr>
          <w:p w14:paraId="326257F6" w14:textId="77777777" w:rsidR="00A37C28" w:rsidRPr="00CF19FA" w:rsidRDefault="00A37C28" w:rsidP="00CF19FA">
            <w:r w:rsidRPr="00CF19FA">
              <w:t>N.A.</w:t>
            </w:r>
          </w:p>
        </w:tc>
      </w:tr>
      <w:tr w:rsidR="00A37C28" w:rsidRPr="00CF19FA" w14:paraId="0C876B5F" w14:textId="77777777" w:rsidTr="00CF19FA">
        <w:trPr>
          <w:trHeight w:val="265"/>
        </w:trPr>
        <w:tc>
          <w:tcPr>
            <w:tcW w:w="1667" w:type="pct"/>
            <w:vMerge/>
            <w:vAlign w:val="center"/>
          </w:tcPr>
          <w:p w14:paraId="6DAEA4B8" w14:textId="77777777" w:rsidR="00A37C28" w:rsidRPr="00CF19FA" w:rsidRDefault="00A37C28" w:rsidP="006626D2"/>
        </w:tc>
        <w:tc>
          <w:tcPr>
            <w:tcW w:w="1667" w:type="pct"/>
            <w:vAlign w:val="center"/>
          </w:tcPr>
          <w:p w14:paraId="5FF21D9B" w14:textId="77777777" w:rsidR="00A37C28" w:rsidRPr="00CF19FA" w:rsidRDefault="00A37C28" w:rsidP="006626D2">
            <w:r w:rsidRPr="00CF19FA">
              <w:t>(EU) 2015/1188</w:t>
            </w:r>
            <w:r w:rsidRPr="00CF19FA">
              <w:rPr>
                <w:rStyle w:val="FootnoteReference"/>
              </w:rPr>
              <w:footnoteReference w:id="9"/>
            </w:r>
          </w:p>
        </w:tc>
        <w:tc>
          <w:tcPr>
            <w:tcW w:w="1666" w:type="pct"/>
            <w:vMerge/>
            <w:vAlign w:val="center"/>
          </w:tcPr>
          <w:p w14:paraId="6666B054" w14:textId="77777777" w:rsidR="00A37C28" w:rsidRPr="00CF19FA" w:rsidRDefault="00A37C28" w:rsidP="006626D2"/>
        </w:tc>
      </w:tr>
    </w:tbl>
    <w:p w14:paraId="422EE1B8" w14:textId="77777777" w:rsidR="00C55ACE" w:rsidRDefault="00D057DD" w:rsidP="00CF19FA">
      <w:pPr>
        <w:spacing w:before="240"/>
        <w:jc w:val="both"/>
      </w:pPr>
      <w:r>
        <w:t xml:space="preserve">The products in the scope </w:t>
      </w:r>
      <w:r w:rsidR="008423DB">
        <w:t xml:space="preserve">of these regulations </w:t>
      </w:r>
      <w:r w:rsidR="003A17A9">
        <w:t>have</w:t>
      </w:r>
      <w:r>
        <w:t xml:space="preserve"> different technologies serving the same purpose</w:t>
      </w:r>
      <w:r w:rsidR="00C55ACE">
        <w:t>. Therefore, the question arises whether or not consumers should be able to compare the energy efficiencies of those products</w:t>
      </w:r>
      <w:r w:rsidR="003A662F">
        <w:t xml:space="preserve"> by means of </w:t>
      </w:r>
      <w:r w:rsidR="008423DB">
        <w:t xml:space="preserve">a single </w:t>
      </w:r>
      <w:r w:rsidR="003A662F">
        <w:t>energy label</w:t>
      </w:r>
      <w:r w:rsidR="00C55ACE">
        <w:t xml:space="preserve">, i.e. by introducing the same energy efficiency classes for all products </w:t>
      </w:r>
      <w:r w:rsidR="008423DB">
        <w:t xml:space="preserve">on </w:t>
      </w:r>
      <w:r w:rsidR="00C55ACE">
        <w:t>a</w:t>
      </w:r>
      <w:r w:rsidR="003A17A9">
        <w:t xml:space="preserve"> ‘combined’ </w:t>
      </w:r>
      <w:r w:rsidR="00C55ACE">
        <w:t>energy label</w:t>
      </w:r>
      <w:r w:rsidR="00ED59B8">
        <w:t xml:space="preserve"> (air-to-air heat pumps </w:t>
      </w:r>
      <w:r w:rsidR="00ED59B8">
        <w:rPr>
          <w:rFonts w:cstheme="minorHAnsi"/>
        </w:rPr>
        <w:t>≤</w:t>
      </w:r>
      <w:r w:rsidR="00ED59B8">
        <w:t xml:space="preserve"> 12 kW and local space heaters </w:t>
      </w:r>
      <w:r w:rsidR="00A37C28">
        <w:rPr>
          <w:rFonts w:cstheme="minorHAnsi"/>
        </w:rPr>
        <w:t>≤</w:t>
      </w:r>
      <w:r w:rsidR="00A37C28">
        <w:t xml:space="preserve"> 50 kW</w:t>
      </w:r>
      <w:r w:rsidR="00C55ACE">
        <w:t xml:space="preserve">. </w:t>
      </w:r>
    </w:p>
    <w:p w14:paraId="1B963141" w14:textId="77777777" w:rsidR="00ED59B8" w:rsidRDefault="003A662F" w:rsidP="001F378C">
      <w:pPr>
        <w:jc w:val="both"/>
      </w:pPr>
      <w:r>
        <w:lastRenderedPageBreak/>
        <w:t>This approach would be in line with the approach taken for the</w:t>
      </w:r>
      <w:r w:rsidR="00A96530">
        <w:t xml:space="preserve"> space heaters </w:t>
      </w:r>
      <w:r>
        <w:t xml:space="preserve">(heat pump space heaters, boilers and cogeneration space heaters) </w:t>
      </w:r>
      <w:r w:rsidR="00A96530">
        <w:t>in the scope of</w:t>
      </w:r>
      <w:r w:rsidR="00815B1C">
        <w:t xml:space="preserve"> Regulation (EU) 811/2013</w:t>
      </w:r>
      <w:r w:rsidR="00815B1C">
        <w:rPr>
          <w:rStyle w:val="FootnoteReference"/>
        </w:rPr>
        <w:footnoteReference w:id="10"/>
      </w:r>
      <w:r w:rsidR="00815B1C">
        <w:t xml:space="preserve"> and Regulation (EU) 2015/1187</w:t>
      </w:r>
      <w:r w:rsidR="00815B1C">
        <w:rPr>
          <w:rStyle w:val="FootnoteReference"/>
        </w:rPr>
        <w:footnoteReference w:id="11"/>
      </w:r>
      <w:r>
        <w:t xml:space="preserve">. These are </w:t>
      </w:r>
      <w:r w:rsidR="00A96530">
        <w:t xml:space="preserve">also different technologies serving the same purpose, i.e. central space heating by means of hot water circulation. </w:t>
      </w:r>
      <w:r>
        <w:t>All technologies in the scope of these Regulations need to bear an</w:t>
      </w:r>
      <w:r w:rsidR="00A96530">
        <w:t xml:space="preserve"> </w:t>
      </w:r>
      <w:r>
        <w:t>energy label, which is based on the same energy efficiency classes for</w:t>
      </w:r>
      <w:r w:rsidR="00A96530">
        <w:t xml:space="preserve"> </w:t>
      </w:r>
      <w:r>
        <w:t>all technologies in the scope</w:t>
      </w:r>
      <w:r w:rsidR="00A96530">
        <w:t>.</w:t>
      </w:r>
      <w:r>
        <w:t xml:space="preserve"> </w:t>
      </w:r>
    </w:p>
    <w:p w14:paraId="6BEC432F" w14:textId="77777777" w:rsidR="00F0247F" w:rsidRDefault="00ED59B8" w:rsidP="001F378C">
      <w:pPr>
        <w:jc w:val="both"/>
      </w:pPr>
      <w:r>
        <w:t>It is clear that choosing an approach that will facilitate the comparison between local space heaters and air-to-air heat pumps will have advantages and disadvantages. An initial consultation</w:t>
      </w:r>
      <w:r w:rsidR="00A37C28">
        <w:t xml:space="preserve">, with a preliminary proposal for energy efficiency classes, </w:t>
      </w:r>
      <w:r w:rsidR="006626D2">
        <w:t xml:space="preserve">was </w:t>
      </w:r>
      <w:r w:rsidR="008423DB">
        <w:t xml:space="preserve">undertaken </w:t>
      </w:r>
      <w:r>
        <w:t xml:space="preserve">in </w:t>
      </w:r>
      <w:r w:rsidR="008423DB">
        <w:t>of the context of</w:t>
      </w:r>
      <w:r>
        <w:t xml:space="preserve"> the review studies for Regulations (EU) No 206/2012 and 626/2011 and for Regulation (EU) 2015/1188. </w:t>
      </w:r>
      <w:r w:rsidR="00CF19FA">
        <w:t>The proposed energy efficiency classes and the products that would fall in their scope, including information used for rescaling and the use of the conversion factor</w:t>
      </w:r>
      <w:r w:rsidR="003A17A9">
        <w:t xml:space="preserve">, </w:t>
      </w:r>
      <w:r w:rsidR="00CF19FA">
        <w:t>are given in the Annex</w:t>
      </w:r>
      <w:r w:rsidR="00111337">
        <w:t xml:space="preserve"> I</w:t>
      </w:r>
      <w:r w:rsidR="00CF19FA">
        <w:t xml:space="preserve">. </w:t>
      </w:r>
    </w:p>
    <w:p w14:paraId="61DA413B" w14:textId="77777777" w:rsidR="00ED59B8" w:rsidRDefault="00ED59B8" w:rsidP="001F378C">
      <w:pPr>
        <w:jc w:val="both"/>
      </w:pPr>
      <w:r>
        <w:t xml:space="preserve">The </w:t>
      </w:r>
      <w:r w:rsidR="00A37C28">
        <w:t xml:space="preserve">respondents included individual companies, industry associations, NGOs and Member States. In general, companies and associations representing the local space heater manufacturers were against the proposal, the heat pumps manufacturers were mostly in favour or neutral, NGOs were mostly in favour and Member States’ opinions were </w:t>
      </w:r>
      <w:r w:rsidR="006626D2">
        <w:t>diverse</w:t>
      </w:r>
      <w:r w:rsidR="00A37C28">
        <w:t xml:space="preserve">. </w:t>
      </w:r>
      <w:r w:rsidR="004914E4">
        <w:t xml:space="preserve">A selection of pros and cons is </w:t>
      </w:r>
      <w:r>
        <w:t>listed here:</w:t>
      </w:r>
    </w:p>
    <w:tbl>
      <w:tblPr>
        <w:tblStyle w:val="TableGrid"/>
        <w:tblW w:w="0" w:type="auto"/>
        <w:tblLook w:val="04A0" w:firstRow="1" w:lastRow="0" w:firstColumn="1" w:lastColumn="0" w:noHBand="0" w:noVBand="1"/>
      </w:tblPr>
      <w:tblGrid>
        <w:gridCol w:w="4534"/>
        <w:gridCol w:w="4528"/>
      </w:tblGrid>
      <w:tr w:rsidR="00ED59B8" w:rsidRPr="00CF19FA" w14:paraId="5ED44959" w14:textId="77777777" w:rsidTr="00CF19FA">
        <w:tc>
          <w:tcPr>
            <w:tcW w:w="4644" w:type="dxa"/>
            <w:vAlign w:val="center"/>
          </w:tcPr>
          <w:p w14:paraId="0D0568A7" w14:textId="77777777" w:rsidR="00ED59B8" w:rsidRPr="00CF19FA" w:rsidRDefault="00ED59B8" w:rsidP="00CF19FA">
            <w:r w:rsidRPr="00CF19FA">
              <w:t>Pros</w:t>
            </w:r>
          </w:p>
        </w:tc>
        <w:tc>
          <w:tcPr>
            <w:tcW w:w="4644" w:type="dxa"/>
            <w:vAlign w:val="center"/>
          </w:tcPr>
          <w:p w14:paraId="238C7795" w14:textId="77777777" w:rsidR="00ED59B8" w:rsidRPr="00CF19FA" w:rsidRDefault="00ED59B8" w:rsidP="00CF19FA">
            <w:r w:rsidRPr="00CF19FA">
              <w:t>Cons</w:t>
            </w:r>
          </w:p>
        </w:tc>
      </w:tr>
      <w:tr w:rsidR="00ED59B8" w:rsidRPr="00CF19FA" w14:paraId="56F0D2E0" w14:textId="77777777" w:rsidTr="00CF19FA">
        <w:tc>
          <w:tcPr>
            <w:tcW w:w="4644" w:type="dxa"/>
            <w:vAlign w:val="center"/>
          </w:tcPr>
          <w:p w14:paraId="110EBA58" w14:textId="77777777" w:rsidR="00ED59B8" w:rsidRPr="00CF19FA" w:rsidRDefault="00ED59B8" w:rsidP="00CF19FA">
            <w:pPr>
              <w:rPr>
                <w:rFonts w:ascii="Calibri" w:hAnsi="Calibri" w:cs="Calibri"/>
                <w:color w:val="000000"/>
              </w:rPr>
            </w:pPr>
            <w:r w:rsidRPr="00CF19FA">
              <w:rPr>
                <w:rFonts w:ascii="Calibri" w:hAnsi="Calibri" w:cs="Calibri"/>
                <w:color w:val="000000"/>
              </w:rPr>
              <w:t>The products in the scope of Regulations (EU) 2015/1186 and (EU) No 626/2011 have the same functionality, i.e. space heating by means of air heating of one or more rooms in residential and commercial buildings</w:t>
            </w:r>
          </w:p>
        </w:tc>
        <w:tc>
          <w:tcPr>
            <w:tcW w:w="4644" w:type="dxa"/>
            <w:vAlign w:val="center"/>
          </w:tcPr>
          <w:p w14:paraId="7D0F81BB" w14:textId="77777777" w:rsidR="00ED59B8" w:rsidRPr="00CF19FA" w:rsidRDefault="00ED59B8" w:rsidP="00CF19FA">
            <w:pPr>
              <w:rPr>
                <w:rFonts w:ascii="Calibri" w:hAnsi="Calibri" w:cs="Calibri"/>
                <w:color w:val="000000"/>
              </w:rPr>
            </w:pPr>
            <w:r w:rsidRPr="00CF19FA">
              <w:rPr>
                <w:rFonts w:ascii="Calibri" w:hAnsi="Calibri" w:cs="Calibri"/>
                <w:color w:val="000000"/>
              </w:rPr>
              <w:t>Consumers interested in buying a local space heater are not interested in buying a heat pump for reasons of price, appearance, fuel choice, ease of installation, etc.</w:t>
            </w:r>
          </w:p>
        </w:tc>
      </w:tr>
      <w:tr w:rsidR="00ED59B8" w:rsidRPr="00CF19FA" w14:paraId="250ADB37" w14:textId="77777777" w:rsidTr="00CF19FA">
        <w:tc>
          <w:tcPr>
            <w:tcW w:w="4644" w:type="dxa"/>
            <w:vAlign w:val="center"/>
          </w:tcPr>
          <w:p w14:paraId="6FD6C399" w14:textId="77777777" w:rsidR="00ED59B8" w:rsidRPr="00CF19FA" w:rsidRDefault="00ED59B8" w:rsidP="00CF19FA">
            <w:pPr>
              <w:rPr>
                <w:rFonts w:ascii="Calibri" w:hAnsi="Calibri" w:cs="Calibri"/>
                <w:color w:val="000000"/>
              </w:rPr>
            </w:pPr>
            <w:r w:rsidRPr="00CF19FA">
              <w:rPr>
                <w:rFonts w:ascii="Calibri" w:hAnsi="Calibri" w:cs="Calibri"/>
                <w:color w:val="000000"/>
              </w:rPr>
              <w:t>Most of the products in the scope of Regulations (EU) No 626/2011 and (EU) 2015/1186 are used as auxiliary heaters.</w:t>
            </w:r>
          </w:p>
        </w:tc>
        <w:tc>
          <w:tcPr>
            <w:tcW w:w="4644" w:type="dxa"/>
            <w:vAlign w:val="center"/>
          </w:tcPr>
          <w:p w14:paraId="1D1AB7D3" w14:textId="77777777" w:rsidR="00ED59B8" w:rsidRPr="00CF19FA" w:rsidRDefault="00ED59B8" w:rsidP="00CF19FA">
            <w:pPr>
              <w:rPr>
                <w:rFonts w:ascii="Calibri" w:hAnsi="Calibri" w:cs="Calibri"/>
                <w:color w:val="000000"/>
              </w:rPr>
            </w:pPr>
            <w:r w:rsidRPr="00CF19FA">
              <w:rPr>
                <w:rFonts w:ascii="Calibri" w:hAnsi="Calibri" w:cs="Calibri"/>
                <w:color w:val="000000"/>
              </w:rPr>
              <w:t>Products in the scope of Regulation (EU) No 626/2011 are limited to a rated capacity of ≤ 12 kW, while the products in the scope of Regulation (EU) 2015/1186 have a rated heat output of ≤ 50 kW.</w:t>
            </w:r>
          </w:p>
        </w:tc>
      </w:tr>
      <w:tr w:rsidR="00ED59B8" w:rsidRPr="00CF19FA" w14:paraId="09E2EB5E" w14:textId="77777777" w:rsidTr="00CF19FA">
        <w:tc>
          <w:tcPr>
            <w:tcW w:w="4644" w:type="dxa"/>
            <w:vAlign w:val="center"/>
          </w:tcPr>
          <w:p w14:paraId="2C88A459" w14:textId="77777777" w:rsidR="00ED59B8" w:rsidRPr="00CF19FA" w:rsidRDefault="00ED59B8" w:rsidP="00CF19FA">
            <w:pPr>
              <w:rPr>
                <w:rFonts w:ascii="Calibri" w:hAnsi="Calibri" w:cs="Calibri"/>
                <w:color w:val="000000"/>
              </w:rPr>
            </w:pPr>
            <w:r w:rsidRPr="00CF19FA">
              <w:rPr>
                <w:rFonts w:ascii="Calibri" w:hAnsi="Calibri" w:cs="Calibri"/>
                <w:color w:val="000000"/>
              </w:rPr>
              <w:t>Member States will only be able to give incentives for the products in the top 2 significantly populated energy efficiency classes of the energy label</w:t>
            </w:r>
            <w:r w:rsidRPr="00CF19FA">
              <w:rPr>
                <w:rStyle w:val="FootnoteReference"/>
                <w:rFonts w:ascii="Calibri" w:hAnsi="Calibri" w:cs="Calibri"/>
                <w:color w:val="000000"/>
              </w:rPr>
              <w:footnoteReference w:id="12"/>
            </w:r>
            <w:r w:rsidRPr="00CF19FA">
              <w:rPr>
                <w:rFonts w:ascii="Calibri" w:hAnsi="Calibri" w:cs="Calibri"/>
                <w:color w:val="000000"/>
              </w:rPr>
              <w:t xml:space="preserve">, this will speed up decarbonisation. </w:t>
            </w:r>
          </w:p>
        </w:tc>
        <w:tc>
          <w:tcPr>
            <w:tcW w:w="4644" w:type="dxa"/>
            <w:vAlign w:val="center"/>
          </w:tcPr>
          <w:p w14:paraId="1115BC3B" w14:textId="77777777" w:rsidR="00ED59B8" w:rsidRPr="00CF19FA" w:rsidRDefault="00ED59B8" w:rsidP="00CF19FA">
            <w:pPr>
              <w:rPr>
                <w:rFonts w:ascii="Calibri" w:hAnsi="Calibri" w:cs="Calibri"/>
                <w:color w:val="000000"/>
              </w:rPr>
            </w:pPr>
            <w:r w:rsidRPr="00CF19FA">
              <w:rPr>
                <w:rFonts w:ascii="Calibri" w:hAnsi="Calibri" w:cs="Calibri"/>
                <w:color w:val="000000"/>
              </w:rPr>
              <w:t xml:space="preserve">Manufacturers of local space heaters will never be able to reach the highest energy efficiency classes, no matter how much they invest in product improvements. This situation can lead to adverse effects, as the energy label no longer incentivises manufacturers to invest in energy efficiency. </w:t>
            </w:r>
          </w:p>
        </w:tc>
      </w:tr>
    </w:tbl>
    <w:p w14:paraId="616C3702" w14:textId="77777777" w:rsidR="00111337" w:rsidRDefault="00111337"/>
    <w:p w14:paraId="0F873AF8" w14:textId="77777777" w:rsidR="00111337" w:rsidRDefault="00111337"/>
    <w:tbl>
      <w:tblPr>
        <w:tblStyle w:val="TableGrid"/>
        <w:tblW w:w="0" w:type="auto"/>
        <w:tblLook w:val="04A0" w:firstRow="1" w:lastRow="0" w:firstColumn="1" w:lastColumn="0" w:noHBand="0" w:noVBand="1"/>
      </w:tblPr>
      <w:tblGrid>
        <w:gridCol w:w="4530"/>
        <w:gridCol w:w="4532"/>
      </w:tblGrid>
      <w:tr w:rsidR="00ED59B8" w:rsidRPr="00CF19FA" w14:paraId="0A9B602C" w14:textId="77777777" w:rsidTr="00CF19FA">
        <w:tc>
          <w:tcPr>
            <w:tcW w:w="4644" w:type="dxa"/>
            <w:vAlign w:val="center"/>
          </w:tcPr>
          <w:p w14:paraId="51EDFD81" w14:textId="77777777" w:rsidR="00ED59B8" w:rsidRPr="00CF19FA" w:rsidRDefault="00ED59B8" w:rsidP="00CF19FA">
            <w:pPr>
              <w:rPr>
                <w:rFonts w:ascii="Calibri" w:hAnsi="Calibri" w:cs="Calibri"/>
                <w:color w:val="000000"/>
              </w:rPr>
            </w:pPr>
            <w:r w:rsidRPr="00CF19FA">
              <w:rPr>
                <w:rFonts w:ascii="Calibri" w:hAnsi="Calibri" w:cs="Calibri"/>
                <w:color w:val="000000"/>
              </w:rPr>
              <w:lastRenderedPageBreak/>
              <w:t>Consumers will be able to choose the most efficient technologies to heat their home by ensuring comparability of different solutions.</w:t>
            </w:r>
          </w:p>
        </w:tc>
        <w:tc>
          <w:tcPr>
            <w:tcW w:w="4644" w:type="dxa"/>
            <w:vAlign w:val="center"/>
          </w:tcPr>
          <w:p w14:paraId="32232DA8" w14:textId="77777777" w:rsidR="00ED59B8" w:rsidRPr="00CF19FA" w:rsidRDefault="00ED59B8" w:rsidP="008423DB">
            <w:pPr>
              <w:rPr>
                <w:rFonts w:ascii="Calibri" w:hAnsi="Calibri" w:cs="Calibri"/>
                <w:color w:val="000000"/>
              </w:rPr>
            </w:pPr>
            <w:r w:rsidRPr="00CF19FA">
              <w:rPr>
                <w:rFonts w:ascii="Calibri" w:hAnsi="Calibri" w:cs="Calibri"/>
                <w:color w:val="000000"/>
              </w:rPr>
              <w:t xml:space="preserve">Reducing the active classes to two for each sub-types of product (e.g. instead of currently 4 active classes for air conditioners and 7 active classes for local space heaters) would reduce the </w:t>
            </w:r>
            <w:r w:rsidR="008423DB">
              <w:rPr>
                <w:rFonts w:ascii="Calibri" w:hAnsi="Calibri" w:cs="Calibri"/>
                <w:color w:val="000000"/>
              </w:rPr>
              <w:t>granularity</w:t>
            </w:r>
            <w:r w:rsidR="008423DB" w:rsidRPr="00CF19FA">
              <w:rPr>
                <w:rFonts w:ascii="Calibri" w:hAnsi="Calibri" w:cs="Calibri"/>
                <w:color w:val="000000"/>
              </w:rPr>
              <w:t xml:space="preserve"> </w:t>
            </w:r>
            <w:r w:rsidRPr="00CF19FA">
              <w:rPr>
                <w:rFonts w:ascii="Calibri" w:hAnsi="Calibri" w:cs="Calibri"/>
                <w:color w:val="000000"/>
              </w:rPr>
              <w:t>of information for consumers.</w:t>
            </w:r>
          </w:p>
        </w:tc>
      </w:tr>
      <w:tr w:rsidR="00ED59B8" w:rsidRPr="00CF19FA" w14:paraId="741A93C4" w14:textId="77777777" w:rsidTr="00CF19FA">
        <w:tc>
          <w:tcPr>
            <w:tcW w:w="4644" w:type="dxa"/>
            <w:vAlign w:val="center"/>
          </w:tcPr>
          <w:p w14:paraId="05C53F2C" w14:textId="77777777" w:rsidR="00ED59B8" w:rsidRPr="00CF19FA" w:rsidRDefault="00ED59B8" w:rsidP="00CF19FA">
            <w:pPr>
              <w:rPr>
                <w:rFonts w:ascii="Calibri" w:hAnsi="Calibri" w:cs="Calibri"/>
                <w:color w:val="000000"/>
              </w:rPr>
            </w:pPr>
            <w:r w:rsidRPr="00CF19FA">
              <w:rPr>
                <w:rFonts w:ascii="Calibri" w:hAnsi="Calibri" w:cs="Calibri"/>
                <w:color w:val="000000"/>
              </w:rPr>
              <w:t>The energy label of space heaters (Regulation (EU) No 811/2013) demonstrates that it was possible to combine different technologies on the same energy label.</w:t>
            </w:r>
          </w:p>
        </w:tc>
        <w:tc>
          <w:tcPr>
            <w:tcW w:w="4644" w:type="dxa"/>
            <w:vAlign w:val="center"/>
          </w:tcPr>
          <w:p w14:paraId="7B151D86" w14:textId="77777777" w:rsidR="00ED59B8" w:rsidRPr="00CF19FA" w:rsidRDefault="00ED59B8" w:rsidP="00CF19FA">
            <w:pPr>
              <w:rPr>
                <w:rFonts w:ascii="Calibri" w:hAnsi="Calibri" w:cs="Calibri"/>
                <w:color w:val="000000"/>
              </w:rPr>
            </w:pPr>
            <w:r w:rsidRPr="00CF19FA">
              <w:rPr>
                <w:rFonts w:ascii="Calibri" w:hAnsi="Calibri" w:cs="Calibri"/>
                <w:color w:val="000000"/>
              </w:rPr>
              <w:t>With less differentiation in the label for heat pumps, manufacturers of reversible air-to-air air conditioners will improve the efficiency in the cooling mode to the detriment of the efficiency in the heating mode.</w:t>
            </w:r>
          </w:p>
        </w:tc>
      </w:tr>
    </w:tbl>
    <w:p w14:paraId="3AA3AA3C" w14:textId="77777777" w:rsidR="004914E4" w:rsidRDefault="004914E4"/>
    <w:p w14:paraId="33C68628" w14:textId="77777777" w:rsidR="00111337" w:rsidRPr="00111337" w:rsidRDefault="00111337">
      <w:r w:rsidRPr="00111337">
        <w:t>Some additional considerations raised by stakeholders:</w:t>
      </w:r>
    </w:p>
    <w:p w14:paraId="62157582" w14:textId="77777777" w:rsidR="003C01B9" w:rsidRDefault="00111337" w:rsidP="008C25EC">
      <w:pPr>
        <w:pStyle w:val="ListParagraph"/>
        <w:numPr>
          <w:ilvl w:val="0"/>
          <w:numId w:val="3"/>
        </w:numPr>
      </w:pPr>
      <w:r>
        <w:t>I</w:t>
      </w:r>
      <w:r w:rsidR="003C01B9">
        <w:t xml:space="preserve">nclude electric local space heaters in the scope of the energy labelling regulation, since energy efficiencies of portable air-to-air heat pumps and electric local space heaters are very similar. </w:t>
      </w:r>
    </w:p>
    <w:p w14:paraId="6C49F948" w14:textId="77777777" w:rsidR="00111337" w:rsidRDefault="00111337" w:rsidP="008C25EC">
      <w:pPr>
        <w:pStyle w:val="ListParagraph"/>
        <w:numPr>
          <w:ilvl w:val="0"/>
          <w:numId w:val="3"/>
        </w:numPr>
        <w:spacing w:after="0" w:line="240" w:lineRule="auto"/>
        <w:jc w:val="both"/>
      </w:pPr>
      <w:r>
        <w:t>In</w:t>
      </w:r>
      <w:r w:rsidRPr="00F0247F">
        <w:t>vers</w:t>
      </w:r>
      <w:r>
        <w:t>e efficiency</w:t>
      </w:r>
      <w:r w:rsidRPr="00F0247F">
        <w:t xml:space="preserve"> figures (1</w:t>
      </w:r>
      <w:r w:rsidRPr="00DF073E">
        <w:t>/</w:t>
      </w:r>
      <m:oMath>
        <m:sSub>
          <m:sSubPr>
            <m:ctrlPr>
              <w:rPr>
                <w:rFonts w:ascii="Cambria Math" w:hAnsi="Cambria Math"/>
              </w:rPr>
            </m:ctrlPr>
          </m:sSubPr>
          <m:e>
            <m:r>
              <w:rPr>
                <w:rFonts w:ascii="Cambria Math" w:hAnsi="Cambria Math"/>
              </w:rPr>
              <m:t>η</m:t>
            </m:r>
          </m:e>
          <m:sub>
            <m:r>
              <w:rPr>
                <w:rFonts w:ascii="Cambria Math" w:hAnsi="Cambria Math"/>
              </w:rPr>
              <m:t>s</m:t>
            </m:r>
            <m:r>
              <m:rPr>
                <m:sty m:val="p"/>
              </m:rPr>
              <w:rPr>
                <w:rFonts w:ascii="Cambria Math" w:hAnsi="Cambria Math"/>
              </w:rPr>
              <m:t>,</m:t>
            </m:r>
            <m:r>
              <w:rPr>
                <w:rFonts w:ascii="Cambria Math" w:hAnsi="Cambria Math"/>
              </w:rPr>
              <m:t>h</m:t>
            </m:r>
          </m:sub>
        </m:sSub>
      </m:oMath>
      <w:r w:rsidRPr="00F0247F">
        <w:t>)</w:t>
      </w:r>
      <w:r>
        <w:t xml:space="preserve">, to avoid that the </w:t>
      </w:r>
      <m:oMath>
        <m:sSub>
          <m:sSubPr>
            <m:ctrlPr>
              <w:rPr>
                <w:rFonts w:ascii="Cambria Math" w:hAnsi="Cambria Math"/>
              </w:rPr>
            </m:ctrlPr>
          </m:sSubPr>
          <m:e>
            <m:r>
              <w:rPr>
                <w:rFonts w:ascii="Cambria Math" w:hAnsi="Cambria Math"/>
              </w:rPr>
              <m:t>η</m:t>
            </m:r>
          </m:e>
          <m:sub>
            <m:r>
              <w:rPr>
                <w:rFonts w:ascii="Cambria Math" w:hAnsi="Cambria Math"/>
              </w:rPr>
              <m:t>s</m:t>
            </m:r>
            <m:r>
              <m:rPr>
                <m:sty m:val="p"/>
              </m:rPr>
              <w:rPr>
                <w:rFonts w:ascii="Cambria Math" w:hAnsi="Cambria Math"/>
              </w:rPr>
              <m:t>,</m:t>
            </m:r>
            <m:r>
              <w:rPr>
                <w:rFonts w:ascii="Cambria Math" w:hAnsi="Cambria Math"/>
              </w:rPr>
              <m:t>h</m:t>
            </m:r>
          </m:sub>
        </m:sSub>
      </m:oMath>
      <w:r>
        <w:t xml:space="preserve"> of heat pumps head to infinity with decreasing conversion factors</w:t>
      </w:r>
      <w:r w:rsidR="00780458">
        <w:t>.</w:t>
      </w:r>
    </w:p>
    <w:p w14:paraId="6CED1F10" w14:textId="77777777" w:rsidR="00780458" w:rsidRDefault="00780458" w:rsidP="008C25EC">
      <w:pPr>
        <w:pStyle w:val="ListParagraph"/>
        <w:numPr>
          <w:ilvl w:val="0"/>
          <w:numId w:val="3"/>
        </w:numPr>
        <w:spacing w:after="0" w:line="240" w:lineRule="auto"/>
        <w:jc w:val="both"/>
      </w:pPr>
      <w:r>
        <w:t xml:space="preserve">Add the energy efficiency number to the energy label in proximity to the arrow to allow more differentiation between products of the same category. </w:t>
      </w:r>
    </w:p>
    <w:p w14:paraId="5FCD95D5" w14:textId="77777777" w:rsidR="00111337" w:rsidRDefault="00111337" w:rsidP="008C25EC">
      <w:pPr>
        <w:spacing w:after="0" w:line="240" w:lineRule="auto"/>
        <w:jc w:val="both"/>
      </w:pPr>
    </w:p>
    <w:p w14:paraId="6CF9F14E" w14:textId="77777777" w:rsidR="00111337" w:rsidRDefault="00111337" w:rsidP="008C25EC">
      <w:pPr>
        <w:spacing w:line="240" w:lineRule="auto"/>
        <w:jc w:val="both"/>
      </w:pPr>
      <w:r>
        <w:t>Based on these suggestions, some additional proposals were made for the energy efficiency classes of a potentially ‘combined’ label in Annex II.</w:t>
      </w:r>
    </w:p>
    <w:p w14:paraId="4BAB30E0" w14:textId="77777777" w:rsidR="008C25EC" w:rsidRDefault="004914E4">
      <w:r>
        <w:t>We welcome any feedback on</w:t>
      </w:r>
      <w:r w:rsidR="008C25EC">
        <w:t>:</w:t>
      </w:r>
    </w:p>
    <w:p w14:paraId="017EDED1" w14:textId="0E01C0A8" w:rsidR="008C25EC" w:rsidRDefault="004914E4" w:rsidP="008C25EC">
      <w:pPr>
        <w:pStyle w:val="ListParagraph"/>
        <w:numPr>
          <w:ilvl w:val="0"/>
          <w:numId w:val="4"/>
        </w:numPr>
      </w:pPr>
      <w:r>
        <w:t>whether or not the members of the Consul</w:t>
      </w:r>
      <w:r w:rsidR="00CF19FA">
        <w:t>t</w:t>
      </w:r>
      <w:r>
        <w:t xml:space="preserve">ation Forum are in favour of </w:t>
      </w:r>
      <w:r w:rsidR="00CF19FA">
        <w:t>introducing an energy label for a</w:t>
      </w:r>
      <w:r w:rsidR="00CF19FA" w:rsidRPr="00CF19FA">
        <w:t xml:space="preserve">ir-to-air heat pumps </w:t>
      </w:r>
      <w:r w:rsidR="00CF19FA" w:rsidRPr="00180110">
        <w:t>≤ 12 kW</w:t>
      </w:r>
      <w:r w:rsidR="00CF19FA">
        <w:t xml:space="preserve"> and local space heaters </w:t>
      </w:r>
      <w:r w:rsidR="00CF19FA" w:rsidRPr="00180110">
        <w:t xml:space="preserve">≤ </w:t>
      </w:r>
      <w:r w:rsidR="00CF19FA">
        <w:t>50</w:t>
      </w:r>
      <w:r w:rsidR="00CF19FA" w:rsidRPr="00180110">
        <w:t xml:space="preserve"> kW</w:t>
      </w:r>
      <w:r w:rsidR="00CF19FA">
        <w:t xml:space="preserve"> that is based on the </w:t>
      </w:r>
      <w:r w:rsidR="003C01B9">
        <w:t>same energy efficiency cl</w:t>
      </w:r>
      <w:r w:rsidR="00F0247F">
        <w:t>asses</w:t>
      </w:r>
      <w:r w:rsidR="00111337">
        <w:t xml:space="preserve">, </w:t>
      </w:r>
      <w:r w:rsidR="00E30913">
        <w:br/>
      </w:r>
      <w:r w:rsidR="004D3330">
        <w:rPr>
          <w:color w:val="FF0000"/>
        </w:rPr>
        <w:t xml:space="preserve">BEAMA is </w:t>
      </w:r>
      <w:r w:rsidR="00E30913" w:rsidRPr="00E30913">
        <w:rPr>
          <w:color w:val="FF0000"/>
        </w:rPr>
        <w:t>not in favour. Th</w:t>
      </w:r>
      <w:r w:rsidR="00852A8B">
        <w:rPr>
          <w:color w:val="FF0000"/>
        </w:rPr>
        <w:t xml:space="preserve">ese categories (heat pumps, gas/liquid </w:t>
      </w:r>
      <w:r w:rsidR="00E30913" w:rsidRPr="00E30913">
        <w:rPr>
          <w:color w:val="FF0000"/>
        </w:rPr>
        <w:t xml:space="preserve">local space heaters, solid fuel space heaters, electric local space heaters) are completely different in terms of price, installation requirements, </w:t>
      </w:r>
      <w:r w:rsidR="00852A8B">
        <w:rPr>
          <w:color w:val="FF0000"/>
        </w:rPr>
        <w:t xml:space="preserve">required </w:t>
      </w:r>
      <w:r w:rsidR="00E30913" w:rsidRPr="00E30913">
        <w:rPr>
          <w:color w:val="FF0000"/>
        </w:rPr>
        <w:t xml:space="preserve">space and devices </w:t>
      </w:r>
      <w:r w:rsidR="00852A8B">
        <w:rPr>
          <w:color w:val="FF0000"/>
        </w:rPr>
        <w:t xml:space="preserve">required </w:t>
      </w:r>
      <w:r w:rsidR="00E30913" w:rsidRPr="00E30913">
        <w:rPr>
          <w:color w:val="FF0000"/>
        </w:rPr>
        <w:t xml:space="preserve">to provide the </w:t>
      </w:r>
      <w:r w:rsidR="00852A8B">
        <w:rPr>
          <w:color w:val="FF0000"/>
        </w:rPr>
        <w:t>relevant</w:t>
      </w:r>
      <w:r w:rsidR="00E30913" w:rsidRPr="00E30913">
        <w:rPr>
          <w:color w:val="FF0000"/>
        </w:rPr>
        <w:t xml:space="preserve"> energy source. The users do not consider them as interchangeable and equivalent, they compare only different models belonging to the same category.</w:t>
      </w:r>
      <w:r w:rsidR="00E30913">
        <w:t xml:space="preserve"> </w:t>
      </w:r>
    </w:p>
    <w:p w14:paraId="7B369871" w14:textId="2A1B475D" w:rsidR="00E30913" w:rsidRPr="00801FBB" w:rsidRDefault="00111337" w:rsidP="00E30913">
      <w:pPr>
        <w:pStyle w:val="ListParagraph"/>
        <w:numPr>
          <w:ilvl w:val="0"/>
          <w:numId w:val="4"/>
        </w:numPr>
        <w:rPr>
          <w:color w:val="FF0000"/>
        </w:rPr>
      </w:pPr>
      <w:r>
        <w:t>the inclusion of electric local space heaters</w:t>
      </w:r>
      <w:r w:rsidR="008C25EC">
        <w:t xml:space="preserve"> in the scope of this label, </w:t>
      </w:r>
      <w:r w:rsidR="00E30913">
        <w:br/>
      </w:r>
      <w:r w:rsidR="004D3330">
        <w:rPr>
          <w:color w:val="FF0000"/>
        </w:rPr>
        <w:t xml:space="preserve">BEAMA is </w:t>
      </w:r>
      <w:r w:rsidR="004D3330" w:rsidRPr="00E30913">
        <w:rPr>
          <w:color w:val="FF0000"/>
        </w:rPr>
        <w:t>not in favour</w:t>
      </w:r>
      <w:r w:rsidR="00E30913" w:rsidRPr="00801FBB">
        <w:rPr>
          <w:color w:val="FF0000"/>
        </w:rPr>
        <w:t>. The ED regulation for electric local space heaters do</w:t>
      </w:r>
      <w:r w:rsidR="00852A8B">
        <w:rPr>
          <w:color w:val="FF0000"/>
        </w:rPr>
        <w:t>es</w:t>
      </w:r>
      <w:r w:rsidR="00E30913" w:rsidRPr="00801FBB">
        <w:rPr>
          <w:color w:val="FF0000"/>
        </w:rPr>
        <w:t xml:space="preserve"> not consider specific test</w:t>
      </w:r>
      <w:r w:rsidR="00852A8B">
        <w:rPr>
          <w:color w:val="FF0000"/>
        </w:rPr>
        <w:t>ing</w:t>
      </w:r>
      <w:r w:rsidR="00E30913" w:rsidRPr="00801FBB">
        <w:rPr>
          <w:color w:val="FF0000"/>
        </w:rPr>
        <w:t xml:space="preserve"> </w:t>
      </w:r>
      <w:r w:rsidR="00852A8B">
        <w:rPr>
          <w:color w:val="FF0000"/>
        </w:rPr>
        <w:t>method to measure efficiency</w:t>
      </w:r>
      <w:r w:rsidR="00E30913" w:rsidRPr="00801FBB">
        <w:rPr>
          <w:color w:val="FF0000"/>
        </w:rPr>
        <w:t xml:space="preserve"> but only a classification based on attributes, which can be used to remove from the market models with very basic features but it is not accurate enough to rank them in a continuous scale as required by the energy labelling. Basically</w:t>
      </w:r>
      <w:r w:rsidR="004D3330">
        <w:rPr>
          <w:color w:val="FF0000"/>
        </w:rPr>
        <w:t>,</w:t>
      </w:r>
      <w:r w:rsidR="00E30913" w:rsidRPr="00801FBB">
        <w:rPr>
          <w:color w:val="FF0000"/>
        </w:rPr>
        <w:t xml:space="preserve"> the efficiency of an electric local space heater is </w:t>
      </w:r>
      <w:r w:rsidR="00801FBB" w:rsidRPr="00801FBB">
        <w:rPr>
          <w:color w:val="FF0000"/>
        </w:rPr>
        <w:t xml:space="preserve">given by </w:t>
      </w:r>
      <w:r w:rsidR="00E30913" w:rsidRPr="00801FBB">
        <w:rPr>
          <w:color w:val="FF0000"/>
        </w:rPr>
        <w:t>the conversion coefficient</w:t>
      </w:r>
      <w:r w:rsidR="00852A8B">
        <w:rPr>
          <w:color w:val="FF0000"/>
        </w:rPr>
        <w:t xml:space="preserve"> CC which </w:t>
      </w:r>
      <w:r w:rsidR="004D3330">
        <w:rPr>
          <w:color w:val="FF0000"/>
        </w:rPr>
        <w:t>cannot</w:t>
      </w:r>
      <w:r w:rsidR="00852A8B">
        <w:rPr>
          <w:color w:val="FF0000"/>
        </w:rPr>
        <w:t xml:space="preserve"> not influenced by the product design.</w:t>
      </w:r>
      <w:r w:rsidR="00E30913" w:rsidRPr="00801FBB">
        <w:rPr>
          <w:color w:val="FF0000"/>
        </w:rPr>
        <w:t xml:space="preserve"> </w:t>
      </w:r>
    </w:p>
    <w:p w14:paraId="788320CF" w14:textId="77777777" w:rsidR="00780458" w:rsidRDefault="00111337" w:rsidP="008C25EC">
      <w:pPr>
        <w:pStyle w:val="ListParagraph"/>
        <w:numPr>
          <w:ilvl w:val="0"/>
          <w:numId w:val="4"/>
        </w:numPr>
      </w:pPr>
      <w:r>
        <w:t>the inversion of the energy efficiency</w:t>
      </w:r>
      <w:r w:rsidR="000D6297">
        <w:t xml:space="preserve"> figures</w:t>
      </w:r>
      <w:r w:rsidR="008C25EC">
        <w:t xml:space="preserve">, </w:t>
      </w:r>
    </w:p>
    <w:p w14:paraId="598E9105" w14:textId="5AA2769D" w:rsidR="00801FBB" w:rsidRPr="00801FBB" w:rsidRDefault="00801FBB" w:rsidP="00801FBB">
      <w:pPr>
        <w:pStyle w:val="ListParagraph"/>
        <w:ind w:left="765"/>
        <w:rPr>
          <w:color w:val="FF0000"/>
        </w:rPr>
      </w:pPr>
      <w:r w:rsidRPr="00801FBB">
        <w:rPr>
          <w:color w:val="FF0000"/>
        </w:rPr>
        <w:t>We are not in favour, we believe it can only create more confusion and there is no added value</w:t>
      </w:r>
      <w:r w:rsidR="004D3330">
        <w:rPr>
          <w:color w:val="FF0000"/>
        </w:rPr>
        <w:t xml:space="preserve"> (primary energy factor cannot go below a value </w:t>
      </w:r>
      <w:bookmarkStart w:id="0" w:name="_GoBack"/>
      <w:bookmarkEnd w:id="0"/>
      <w:r w:rsidR="004D3330">
        <w:rPr>
          <w:color w:val="FF0000"/>
        </w:rPr>
        <w:t>1)</w:t>
      </w:r>
      <w:r w:rsidRPr="00801FBB">
        <w:rPr>
          <w:color w:val="FF0000"/>
        </w:rPr>
        <w:t xml:space="preserve">. </w:t>
      </w:r>
    </w:p>
    <w:p w14:paraId="4D5E5557" w14:textId="77777777" w:rsidR="008C25EC" w:rsidRPr="008061B3" w:rsidRDefault="00780458" w:rsidP="008C25EC">
      <w:pPr>
        <w:pStyle w:val="ListParagraph"/>
        <w:numPr>
          <w:ilvl w:val="0"/>
          <w:numId w:val="4"/>
        </w:numPr>
        <w:rPr>
          <w:color w:val="FF0000"/>
        </w:rPr>
      </w:pPr>
      <w:r>
        <w:t xml:space="preserve">the addition of the energy efficiency number on the label, </w:t>
      </w:r>
      <w:r w:rsidR="008C25EC">
        <w:t>and</w:t>
      </w:r>
      <w:r w:rsidR="008061B3">
        <w:br/>
      </w:r>
      <w:r w:rsidR="008061B3" w:rsidRPr="008061B3">
        <w:rPr>
          <w:color w:val="FF0000"/>
        </w:rPr>
        <w:t xml:space="preserve">We are not in favour, users already find energy labels too complex and </w:t>
      </w:r>
      <w:r w:rsidR="00852A8B">
        <w:rPr>
          <w:color w:val="FF0000"/>
        </w:rPr>
        <w:t>confusing in many parts</w:t>
      </w:r>
      <w:r w:rsidR="008061B3" w:rsidRPr="008061B3">
        <w:rPr>
          <w:color w:val="FF0000"/>
        </w:rPr>
        <w:t xml:space="preserve">, the addition of a figure which is not understood </w:t>
      </w:r>
      <w:r w:rsidR="00852A8B">
        <w:rPr>
          <w:color w:val="FF0000"/>
        </w:rPr>
        <w:t>could</w:t>
      </w:r>
      <w:r w:rsidR="008061B3" w:rsidRPr="008061B3">
        <w:rPr>
          <w:color w:val="FF0000"/>
        </w:rPr>
        <w:t xml:space="preserve"> only increase the confusion.</w:t>
      </w:r>
    </w:p>
    <w:p w14:paraId="36FCD35B" w14:textId="77777777" w:rsidR="00111337" w:rsidRDefault="00111337" w:rsidP="008C25EC">
      <w:pPr>
        <w:pStyle w:val="ListParagraph"/>
        <w:numPr>
          <w:ilvl w:val="0"/>
          <w:numId w:val="4"/>
        </w:numPr>
      </w:pPr>
      <w:r>
        <w:lastRenderedPageBreak/>
        <w:t>the proposals in Annex II.</w:t>
      </w:r>
      <w:r w:rsidR="008061B3">
        <w:br/>
      </w:r>
      <w:r w:rsidR="008061B3" w:rsidRPr="008061B3">
        <w:rPr>
          <w:color w:val="FF0000"/>
        </w:rPr>
        <w:t>We are not in favour, see point 1</w:t>
      </w:r>
      <w:r w:rsidR="008061B3">
        <w:rPr>
          <w:color w:val="FF0000"/>
        </w:rPr>
        <w:t>.</w:t>
      </w:r>
    </w:p>
    <w:p w14:paraId="1C45215A" w14:textId="77777777" w:rsidR="004914E4" w:rsidRDefault="00F0247F">
      <w:r>
        <w:t xml:space="preserve"> </w:t>
      </w:r>
      <w:r w:rsidR="004914E4">
        <w:br w:type="page"/>
      </w:r>
    </w:p>
    <w:p w14:paraId="231D44A0" w14:textId="77777777" w:rsidR="003A662F" w:rsidRPr="00CF19FA" w:rsidRDefault="004914E4" w:rsidP="00CF19FA">
      <w:pPr>
        <w:jc w:val="center"/>
        <w:rPr>
          <w:b/>
          <w:u w:val="single"/>
        </w:rPr>
      </w:pPr>
      <w:r w:rsidRPr="00CF19FA">
        <w:rPr>
          <w:b/>
          <w:u w:val="single"/>
        </w:rPr>
        <w:lastRenderedPageBreak/>
        <w:t>Annex</w:t>
      </w:r>
      <w:r w:rsidR="00111337">
        <w:rPr>
          <w:b/>
          <w:u w:val="single"/>
        </w:rPr>
        <w:t xml:space="preserve"> I</w:t>
      </w:r>
    </w:p>
    <w:p w14:paraId="34DE7A2E" w14:textId="77777777" w:rsidR="00BB7562" w:rsidRPr="00BB7562" w:rsidRDefault="00BB7562" w:rsidP="001F378C">
      <w:pPr>
        <w:jc w:val="both"/>
        <w:rPr>
          <w:u w:val="single"/>
        </w:rPr>
      </w:pPr>
      <w:r>
        <w:rPr>
          <w:u w:val="single"/>
        </w:rPr>
        <w:t>Information</w:t>
      </w:r>
      <w:r w:rsidRPr="00BB7562">
        <w:rPr>
          <w:u w:val="single"/>
        </w:rPr>
        <w:t xml:space="preserve"> used</w:t>
      </w:r>
      <w:r>
        <w:rPr>
          <w:u w:val="single"/>
        </w:rPr>
        <w:t xml:space="preserve"> for rescaling</w:t>
      </w:r>
    </w:p>
    <w:p w14:paraId="5601F832" w14:textId="77777777" w:rsidR="00697DF8" w:rsidRDefault="008D50BF" w:rsidP="001F378C">
      <w:pPr>
        <w:jc w:val="both"/>
      </w:pPr>
      <w:r>
        <w:t xml:space="preserve">The review study for </w:t>
      </w:r>
      <w:r w:rsidR="00276CEF">
        <w:t>Ecodesign Regulation (EU) No 206/2012 and Energy Labelling regulation (EU) No 626/2011</w:t>
      </w:r>
      <w:r w:rsidR="00D04A9A">
        <w:t xml:space="preserve"> </w:t>
      </w:r>
      <w:r>
        <w:t xml:space="preserve">and the review study for </w:t>
      </w:r>
      <w:r w:rsidR="00D04A9A">
        <w:t>Ecodesign Regulation</w:t>
      </w:r>
      <w:r w:rsidR="00276CEF">
        <w:t xml:space="preserve"> (EU) 2015/1188 </w:t>
      </w:r>
      <w:r>
        <w:t xml:space="preserve">contain the energy efficiency information needed to make a proposal for </w:t>
      </w:r>
      <w:r w:rsidR="005A3BD8">
        <w:t xml:space="preserve">a </w:t>
      </w:r>
      <w:r>
        <w:t xml:space="preserve">revised energy label. For </w:t>
      </w:r>
      <w:r w:rsidR="00D04A9A">
        <w:t xml:space="preserve">solid fuel local space heaters, which were not subject of the review studies above, we can assume that </w:t>
      </w:r>
      <w:r>
        <w:t>the market has not evolved significantly in terms of energy efficiency since the entry into force of the Regulation in 2015</w:t>
      </w:r>
      <w:r w:rsidR="00110A70">
        <w:rPr>
          <w:rStyle w:val="FootnoteReference"/>
        </w:rPr>
        <w:footnoteReference w:id="13"/>
      </w:r>
      <w:r w:rsidR="009F7696">
        <w:t>, as this is also the case for the local space heaters that were subject to the study</w:t>
      </w:r>
      <w:r w:rsidR="00D04A9A">
        <w:t>.</w:t>
      </w:r>
    </w:p>
    <w:p w14:paraId="249B8CED" w14:textId="77777777" w:rsidR="00BB7562" w:rsidRPr="00BB7562" w:rsidRDefault="00BB7562" w:rsidP="001F378C">
      <w:pPr>
        <w:jc w:val="both"/>
        <w:rPr>
          <w:u w:val="single"/>
        </w:rPr>
      </w:pPr>
      <w:r w:rsidRPr="00BB7562">
        <w:rPr>
          <w:u w:val="single"/>
        </w:rPr>
        <w:t>Conversion to primary energy efficiency</w:t>
      </w:r>
    </w:p>
    <w:p w14:paraId="7E7A361D" w14:textId="77777777" w:rsidR="001F378C" w:rsidRDefault="00240776" w:rsidP="001F378C">
      <w:pPr>
        <w:jc w:val="both"/>
      </w:pPr>
      <w:r>
        <w:t xml:space="preserve">To be able to compare the different efficiency values, the SCOP values of the heat pumps </w:t>
      </w:r>
      <w:r w:rsidR="00DE4AB6">
        <w:t>are</w:t>
      </w:r>
      <w:r>
        <w:t xml:space="preserve"> c</w:t>
      </w:r>
      <w:r w:rsidR="001F378C">
        <w:t>onverted to primary energy as follows:</w:t>
      </w:r>
    </w:p>
    <w:p w14:paraId="317AE475" w14:textId="77777777" w:rsidR="001F378C" w:rsidRDefault="00E35D1D" w:rsidP="001F378C">
      <w:pPr>
        <w:jc w:val="both"/>
        <w:rPr>
          <w:rFonts w:cstheme="minorHAnsi"/>
        </w:rPr>
      </w:pPr>
      <m:oMath>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r>
          <w:rPr>
            <w:rFonts w:ascii="Cambria Math" w:hAnsi="Cambria Math" w:cstheme="minorHAnsi"/>
          </w:rPr>
          <m:t>=</m:t>
        </m:r>
        <m:f>
          <m:fPr>
            <m:ctrlPr>
              <w:rPr>
                <w:rFonts w:ascii="Cambria Math" w:hAnsi="Cambria Math" w:cstheme="minorHAnsi"/>
                <w:i/>
              </w:rPr>
            </m:ctrlPr>
          </m:fPr>
          <m:num>
            <m:r>
              <w:rPr>
                <w:rFonts w:ascii="Cambria Math" w:hAnsi="Cambria Math" w:cstheme="minorHAnsi"/>
              </w:rPr>
              <m:t>SCOP</m:t>
            </m:r>
          </m:num>
          <m:den>
            <m:r>
              <w:rPr>
                <w:rFonts w:ascii="Cambria Math" w:hAnsi="Cambria Math" w:cstheme="minorHAnsi"/>
              </w:rPr>
              <m:t>CC</m:t>
            </m:r>
          </m:den>
        </m:f>
      </m:oMath>
      <w:r w:rsidR="001F378C">
        <w:rPr>
          <w:rFonts w:eastAsiaTheme="minorEastAsia" w:cstheme="minorHAnsi"/>
        </w:rPr>
        <w:t xml:space="preserve"> – </w:t>
      </w:r>
      <w:proofErr w:type="gramStart"/>
      <w:r w:rsidR="001F378C">
        <w:rPr>
          <w:rFonts w:eastAsiaTheme="minorEastAsia" w:cstheme="minorHAnsi"/>
        </w:rPr>
        <w:t>F(</w:t>
      </w:r>
      <w:proofErr w:type="gramEnd"/>
      <w:r w:rsidR="001F378C">
        <w:rPr>
          <w:rFonts w:eastAsiaTheme="minorEastAsia" w:cstheme="minorHAnsi"/>
        </w:rPr>
        <w:t>1)</w:t>
      </w:r>
    </w:p>
    <w:p w14:paraId="529B21F6" w14:textId="77777777" w:rsidR="00240776" w:rsidRDefault="001F378C" w:rsidP="001F378C">
      <w:pPr>
        <w:jc w:val="both"/>
      </w:pPr>
      <w:r>
        <w:t xml:space="preserve">With CC, </w:t>
      </w:r>
      <w:r w:rsidR="00240776">
        <w:t xml:space="preserve">the conversion coefficient </w:t>
      </w:r>
      <w:r>
        <w:t xml:space="preserve">equal to </w:t>
      </w:r>
      <w:r w:rsidR="00240776">
        <w:t>2</w:t>
      </w:r>
      <w:r>
        <w:t>,</w:t>
      </w:r>
      <w:r w:rsidR="00240776">
        <w:t xml:space="preserve">1, in line with </w:t>
      </w:r>
      <w:r w:rsidR="005A3BD8">
        <w:t xml:space="preserve">the </w:t>
      </w:r>
      <w:r w:rsidR="0098203B">
        <w:t>amendment to Annex IV, footnote 3 of the Energy Efficiency Directive</w:t>
      </w:r>
      <w:r w:rsidR="00236ECE">
        <w:rPr>
          <w:rStyle w:val="FootnoteReference"/>
        </w:rPr>
        <w:footnoteReference w:id="14"/>
      </w:r>
      <w:r>
        <w:t xml:space="preserve">; F(1), the contribution accounting for temperature control equal to 3%. </w:t>
      </w:r>
    </w:p>
    <w:p w14:paraId="2472C2D2" w14:textId="77777777" w:rsidR="00C520B4" w:rsidRDefault="00DE4AB6" w:rsidP="001F378C">
      <w:pPr>
        <w:jc w:val="both"/>
      </w:pPr>
      <w:r>
        <w:t>T</w:t>
      </w:r>
      <w:r w:rsidR="00C520B4">
        <w:t>he biomass label factor (BLF) would be applied, w</w:t>
      </w:r>
      <w:r w:rsidR="00C520B4" w:rsidRPr="00C520B4">
        <w:t>hich is 1,45 for biomass local space heaters and 1 for fossil fuel local space heaters</w:t>
      </w:r>
      <w:r w:rsidR="00C520B4">
        <w:t xml:space="preserve">. </w:t>
      </w:r>
    </w:p>
    <w:p w14:paraId="61A8ADB5" w14:textId="77777777" w:rsidR="00B91327" w:rsidRDefault="00B91327">
      <w:pPr>
        <w:rPr>
          <w:u w:val="single"/>
        </w:rPr>
      </w:pPr>
      <w:r>
        <w:rPr>
          <w:u w:val="single"/>
        </w:rPr>
        <w:br w:type="page"/>
      </w:r>
    </w:p>
    <w:p w14:paraId="1F1CD42B" w14:textId="77777777" w:rsidR="00BB7562" w:rsidRPr="00BB7562" w:rsidRDefault="00BB7562">
      <w:pPr>
        <w:rPr>
          <w:u w:val="single"/>
        </w:rPr>
      </w:pPr>
      <w:r>
        <w:rPr>
          <w:u w:val="single"/>
        </w:rPr>
        <w:lastRenderedPageBreak/>
        <w:t>Energy efficiency classes –</w:t>
      </w:r>
      <w:r w:rsidR="00DF073E">
        <w:rPr>
          <w:u w:val="single"/>
        </w:rPr>
        <w:t xml:space="preserve"> </w:t>
      </w:r>
      <w:r>
        <w:rPr>
          <w:u w:val="single"/>
        </w:rPr>
        <w:t>proposal</w:t>
      </w:r>
      <w:r w:rsidR="0013447F">
        <w:rPr>
          <w:u w:val="single"/>
        </w:rPr>
        <w:t xml:space="preserve"> used during the initial consultation</w:t>
      </w:r>
    </w:p>
    <w:p w14:paraId="3004402D" w14:textId="77777777" w:rsidR="00994F45" w:rsidRDefault="00994F45"/>
    <w:tbl>
      <w:tblPr>
        <w:tblStyle w:val="TableGrid"/>
        <w:tblW w:w="0" w:type="auto"/>
        <w:tblLook w:val="04A0" w:firstRow="1" w:lastRow="0" w:firstColumn="1" w:lastColumn="0" w:noHBand="0" w:noVBand="1"/>
      </w:tblPr>
      <w:tblGrid>
        <w:gridCol w:w="1063"/>
        <w:gridCol w:w="1994"/>
        <w:gridCol w:w="2875"/>
        <w:gridCol w:w="1537"/>
        <w:gridCol w:w="1593"/>
      </w:tblGrid>
      <w:tr w:rsidR="00C405F5" w:rsidRPr="00C405F5" w14:paraId="426ADC55" w14:textId="77777777" w:rsidTr="003C01B9">
        <w:tc>
          <w:tcPr>
            <w:tcW w:w="1068" w:type="dxa"/>
            <w:vMerge w:val="restart"/>
            <w:vAlign w:val="center"/>
          </w:tcPr>
          <w:p w14:paraId="2E1ECDEC" w14:textId="77777777" w:rsidR="00C405F5" w:rsidRPr="00C405F5" w:rsidRDefault="00C405F5" w:rsidP="003C01B9">
            <w:pPr>
              <w:rPr>
                <w:sz w:val="20"/>
              </w:rPr>
            </w:pPr>
            <w:r w:rsidRPr="00C405F5">
              <w:rPr>
                <w:sz w:val="20"/>
              </w:rPr>
              <w:t>Energy efficiency class</w:t>
            </w:r>
          </w:p>
        </w:tc>
        <w:tc>
          <w:tcPr>
            <w:tcW w:w="2040" w:type="dxa"/>
            <w:vMerge w:val="restart"/>
            <w:vAlign w:val="center"/>
          </w:tcPr>
          <w:p w14:paraId="6ECEACD3" w14:textId="77777777" w:rsidR="00C405F5" w:rsidRPr="00C405F5" w:rsidRDefault="00C405F5" w:rsidP="003C01B9">
            <w:pPr>
              <w:rPr>
                <w:sz w:val="20"/>
              </w:rPr>
            </w:pPr>
            <w:r w:rsidRPr="00C405F5">
              <w:rPr>
                <w:sz w:val="20"/>
              </w:rPr>
              <w:t>Corresponding efficiency numbers</w:t>
            </w:r>
          </w:p>
        </w:tc>
        <w:tc>
          <w:tcPr>
            <w:tcW w:w="3000" w:type="dxa"/>
            <w:vMerge w:val="restart"/>
            <w:vAlign w:val="center"/>
          </w:tcPr>
          <w:p w14:paraId="09C90F8B" w14:textId="77777777" w:rsidR="00C405F5" w:rsidRPr="00C405F5" w:rsidRDefault="00C405F5" w:rsidP="003C01B9">
            <w:pPr>
              <w:rPr>
                <w:sz w:val="20"/>
              </w:rPr>
            </w:pPr>
            <w:r w:rsidRPr="00C405F5">
              <w:rPr>
                <w:sz w:val="20"/>
              </w:rPr>
              <w:t>Comments</w:t>
            </w:r>
          </w:p>
        </w:tc>
        <w:tc>
          <w:tcPr>
            <w:tcW w:w="3180" w:type="dxa"/>
            <w:gridSpan w:val="2"/>
            <w:vAlign w:val="center"/>
          </w:tcPr>
          <w:p w14:paraId="016608C3" w14:textId="77777777" w:rsidR="00C405F5" w:rsidRPr="00C405F5" w:rsidRDefault="00FF733B" w:rsidP="003C01B9">
            <w:pPr>
              <w:rPr>
                <w:sz w:val="20"/>
              </w:rPr>
            </w:pPr>
            <w:r>
              <w:rPr>
                <w:sz w:val="20"/>
              </w:rPr>
              <w:t xml:space="preserve">Product types </w:t>
            </w:r>
            <w:r w:rsidR="00AD36FF">
              <w:rPr>
                <w:sz w:val="20"/>
              </w:rPr>
              <w:t>in each energy efficiency class</w:t>
            </w:r>
          </w:p>
        </w:tc>
      </w:tr>
      <w:tr w:rsidR="00C405F5" w:rsidRPr="00C405F5" w14:paraId="36A59C24" w14:textId="77777777" w:rsidTr="003C01B9">
        <w:tc>
          <w:tcPr>
            <w:tcW w:w="1068" w:type="dxa"/>
            <w:vMerge/>
            <w:vAlign w:val="center"/>
          </w:tcPr>
          <w:p w14:paraId="18938B43" w14:textId="77777777" w:rsidR="00C405F5" w:rsidRPr="00C405F5" w:rsidRDefault="00C405F5" w:rsidP="003C01B9">
            <w:pPr>
              <w:rPr>
                <w:sz w:val="20"/>
              </w:rPr>
            </w:pPr>
          </w:p>
        </w:tc>
        <w:tc>
          <w:tcPr>
            <w:tcW w:w="2040" w:type="dxa"/>
            <w:vMerge/>
            <w:vAlign w:val="center"/>
          </w:tcPr>
          <w:p w14:paraId="6F525B3C" w14:textId="77777777" w:rsidR="00C405F5" w:rsidRPr="00C405F5" w:rsidRDefault="00C405F5" w:rsidP="003C01B9">
            <w:pPr>
              <w:rPr>
                <w:rFonts w:ascii="Calibri" w:eastAsia="Calibri" w:hAnsi="Calibri" w:cs="Times New Roman"/>
                <w:sz w:val="20"/>
              </w:rPr>
            </w:pPr>
          </w:p>
        </w:tc>
        <w:tc>
          <w:tcPr>
            <w:tcW w:w="3000" w:type="dxa"/>
            <w:vMerge/>
            <w:vAlign w:val="center"/>
          </w:tcPr>
          <w:p w14:paraId="4582FB17" w14:textId="77777777" w:rsidR="00C405F5" w:rsidRPr="00C405F5" w:rsidRDefault="00C405F5" w:rsidP="003C01B9">
            <w:pPr>
              <w:rPr>
                <w:rFonts w:cstheme="minorHAnsi"/>
                <w:sz w:val="20"/>
              </w:rPr>
            </w:pPr>
          </w:p>
        </w:tc>
        <w:tc>
          <w:tcPr>
            <w:tcW w:w="1560" w:type="dxa"/>
            <w:vAlign w:val="center"/>
          </w:tcPr>
          <w:p w14:paraId="4CE78995" w14:textId="77777777" w:rsidR="00C405F5" w:rsidRPr="00C405F5" w:rsidRDefault="00FF733B" w:rsidP="003C01B9">
            <w:pPr>
              <w:rPr>
                <w:rFonts w:eastAsiaTheme="minorEastAsia"/>
                <w:sz w:val="20"/>
              </w:rPr>
            </w:pPr>
            <w:r>
              <w:rPr>
                <w:rFonts w:eastAsiaTheme="minorEastAsia"/>
                <w:sz w:val="20"/>
              </w:rPr>
              <w:t>At e</w:t>
            </w:r>
            <w:r w:rsidR="00C405F5" w:rsidRPr="00C405F5">
              <w:rPr>
                <w:rFonts w:eastAsiaTheme="minorEastAsia"/>
                <w:sz w:val="20"/>
              </w:rPr>
              <w:t>ntry into force</w:t>
            </w:r>
          </w:p>
        </w:tc>
        <w:tc>
          <w:tcPr>
            <w:tcW w:w="1620" w:type="dxa"/>
            <w:vAlign w:val="center"/>
          </w:tcPr>
          <w:p w14:paraId="6995E601" w14:textId="77777777" w:rsidR="00C405F5" w:rsidRPr="00C405F5" w:rsidRDefault="00FF733B" w:rsidP="003C01B9">
            <w:pPr>
              <w:rPr>
                <w:rFonts w:cstheme="minorHAnsi"/>
                <w:sz w:val="20"/>
              </w:rPr>
            </w:pPr>
            <w:r>
              <w:rPr>
                <w:rFonts w:cstheme="minorHAnsi"/>
                <w:sz w:val="20"/>
              </w:rPr>
              <w:t>After entry into force</w:t>
            </w:r>
          </w:p>
        </w:tc>
      </w:tr>
      <w:tr w:rsidR="00C405F5" w:rsidRPr="00C405F5" w14:paraId="439FC80E" w14:textId="77777777" w:rsidTr="003C01B9">
        <w:tc>
          <w:tcPr>
            <w:tcW w:w="1068" w:type="dxa"/>
            <w:vAlign w:val="center"/>
          </w:tcPr>
          <w:p w14:paraId="0A63DA83" w14:textId="77777777" w:rsidR="00CA0562" w:rsidRPr="00C405F5" w:rsidRDefault="00CA0562" w:rsidP="003C01B9">
            <w:pPr>
              <w:rPr>
                <w:sz w:val="20"/>
              </w:rPr>
            </w:pPr>
            <w:r w:rsidRPr="00C405F5">
              <w:rPr>
                <w:sz w:val="20"/>
              </w:rPr>
              <w:t>A</w:t>
            </w:r>
          </w:p>
        </w:tc>
        <w:tc>
          <w:tcPr>
            <w:tcW w:w="2040" w:type="dxa"/>
            <w:vAlign w:val="center"/>
          </w:tcPr>
          <w:p w14:paraId="33C2875E" w14:textId="77777777" w:rsidR="00CA0562" w:rsidRPr="00C405F5" w:rsidRDefault="00E35D1D" w:rsidP="003C01B9">
            <w:pPr>
              <w:rPr>
                <w:sz w:val="20"/>
              </w:rPr>
            </w:pPr>
            <m:oMath>
              <m:sSub>
                <m:sSubPr>
                  <m:ctrlPr>
                    <w:rPr>
                      <w:rFonts w:ascii="Cambria Math" w:hAnsi="Cambria Math" w:cstheme="minorHAnsi"/>
                      <w:i/>
                      <w:sz w:val="20"/>
                    </w:rPr>
                  </m:ctrlPr>
                </m:sSubPr>
                <m:e>
                  <m:r>
                    <w:rPr>
                      <w:rFonts w:ascii="Cambria Math" w:hAnsi="Cambria Math" w:cstheme="minorHAnsi"/>
                      <w:sz w:val="20"/>
                    </w:rPr>
                    <m:t>η</m:t>
                  </m:r>
                </m:e>
                <m:sub>
                  <m:r>
                    <w:rPr>
                      <w:rFonts w:ascii="Cambria Math" w:hAnsi="Cambria Math" w:cstheme="minorHAnsi"/>
                      <w:sz w:val="20"/>
                    </w:rPr>
                    <m:t>s,h</m:t>
                  </m:r>
                </m:sub>
              </m:sSub>
              <m:r>
                <w:rPr>
                  <w:rFonts w:ascii="Cambria Math" w:hAnsi="Cambria Math" w:cstheme="minorHAnsi"/>
                  <w:sz w:val="20"/>
                </w:rPr>
                <m:t>≥</m:t>
              </m:r>
            </m:oMath>
            <w:r w:rsidR="00CA0562" w:rsidRPr="00C405F5">
              <w:rPr>
                <w:rFonts w:eastAsiaTheme="minorEastAsia"/>
                <w:sz w:val="20"/>
              </w:rPr>
              <w:t xml:space="preserve"> 292%</w:t>
            </w:r>
          </w:p>
        </w:tc>
        <w:tc>
          <w:tcPr>
            <w:tcW w:w="3000" w:type="dxa"/>
            <w:vAlign w:val="center"/>
          </w:tcPr>
          <w:p w14:paraId="48CFE855" w14:textId="77777777" w:rsidR="00CA0562" w:rsidRPr="00C405F5" w:rsidRDefault="00CA0562" w:rsidP="003C01B9">
            <w:pPr>
              <w:rPr>
                <w:rFonts w:cstheme="minorHAnsi"/>
                <w:sz w:val="20"/>
              </w:rPr>
            </w:pPr>
            <w:r w:rsidRPr="00C405F5">
              <w:rPr>
                <w:rFonts w:cstheme="minorHAnsi"/>
                <w:sz w:val="20"/>
              </w:rPr>
              <w:t>The upper A class needs to be empty at the time of entry into force of the Regulation, therefore, 292% corresponds to the BNAT of heat pumps and corresponds with an SCOP value of 6.2 as determined in the review study</w:t>
            </w:r>
            <w:r w:rsidRPr="00C405F5">
              <w:rPr>
                <w:rStyle w:val="FootnoteReference"/>
                <w:rFonts w:cstheme="minorHAnsi"/>
                <w:sz w:val="20"/>
              </w:rPr>
              <w:footnoteReference w:id="15"/>
            </w:r>
            <w:r w:rsidRPr="00C405F5">
              <w:rPr>
                <w:rFonts w:cstheme="minorHAnsi"/>
                <w:sz w:val="20"/>
              </w:rPr>
              <w:t xml:space="preserve"> for the regulation for the air conditioners</w:t>
            </w:r>
          </w:p>
        </w:tc>
        <w:tc>
          <w:tcPr>
            <w:tcW w:w="1560" w:type="dxa"/>
            <w:vAlign w:val="center"/>
          </w:tcPr>
          <w:p w14:paraId="6B10CDC8" w14:textId="77777777" w:rsidR="00CA0562" w:rsidRPr="00C405F5" w:rsidRDefault="00CA0562" w:rsidP="003C01B9">
            <w:pPr>
              <w:rPr>
                <w:rFonts w:eastAsiaTheme="minorEastAsia"/>
                <w:sz w:val="20"/>
              </w:rPr>
            </w:pPr>
            <w:r w:rsidRPr="00C405F5">
              <w:rPr>
                <w:rFonts w:eastAsiaTheme="minorEastAsia"/>
                <w:sz w:val="20"/>
              </w:rPr>
              <w:t>None</w:t>
            </w:r>
          </w:p>
        </w:tc>
        <w:tc>
          <w:tcPr>
            <w:tcW w:w="1620" w:type="dxa"/>
            <w:vAlign w:val="center"/>
          </w:tcPr>
          <w:p w14:paraId="7EB367BD" w14:textId="77777777" w:rsidR="00CA0562" w:rsidRPr="00C405F5" w:rsidRDefault="00CA0562" w:rsidP="003C01B9">
            <w:pPr>
              <w:rPr>
                <w:rFonts w:cstheme="minorHAnsi"/>
                <w:sz w:val="20"/>
              </w:rPr>
            </w:pPr>
            <w:r w:rsidRPr="00C405F5">
              <w:rPr>
                <w:rFonts w:cstheme="minorHAnsi"/>
                <w:sz w:val="20"/>
              </w:rPr>
              <w:t>Heat pumps</w:t>
            </w:r>
          </w:p>
        </w:tc>
      </w:tr>
      <w:tr w:rsidR="00C405F5" w:rsidRPr="00C405F5" w14:paraId="6A36C480" w14:textId="77777777" w:rsidTr="003C01B9">
        <w:tc>
          <w:tcPr>
            <w:tcW w:w="1068" w:type="dxa"/>
            <w:vAlign w:val="center"/>
          </w:tcPr>
          <w:p w14:paraId="63CA8771" w14:textId="77777777" w:rsidR="00CA0562" w:rsidRPr="00C405F5" w:rsidRDefault="00CA0562" w:rsidP="003C01B9">
            <w:pPr>
              <w:rPr>
                <w:sz w:val="20"/>
              </w:rPr>
            </w:pPr>
            <w:r w:rsidRPr="00C405F5">
              <w:rPr>
                <w:sz w:val="20"/>
              </w:rPr>
              <w:t>B</w:t>
            </w:r>
          </w:p>
        </w:tc>
        <w:tc>
          <w:tcPr>
            <w:tcW w:w="2040" w:type="dxa"/>
            <w:vAlign w:val="center"/>
          </w:tcPr>
          <w:p w14:paraId="6BBAE964" w14:textId="77777777" w:rsidR="00CA0562" w:rsidRPr="00C405F5" w:rsidRDefault="00CA0562" w:rsidP="003C01B9">
            <w:pPr>
              <w:rPr>
                <w:sz w:val="20"/>
              </w:rPr>
            </w:pPr>
            <w:r w:rsidRPr="00C405F5">
              <w:rPr>
                <w:rFonts w:eastAsiaTheme="minorEastAsia"/>
                <w:sz w:val="20"/>
              </w:rPr>
              <w:t xml:space="preserve">292% </w:t>
            </w:r>
            <m:oMath>
              <m:r>
                <w:rPr>
                  <w:rFonts w:ascii="Cambria Math" w:eastAsiaTheme="minorEastAsia" w:hAnsi="Cambria Math"/>
                  <w:sz w:val="20"/>
                </w:rPr>
                <m:t>&gt;</m:t>
              </m:r>
              <m:sSub>
                <m:sSubPr>
                  <m:ctrlPr>
                    <w:rPr>
                      <w:rFonts w:ascii="Cambria Math" w:hAnsi="Cambria Math" w:cstheme="minorHAnsi"/>
                      <w:i/>
                      <w:sz w:val="20"/>
                    </w:rPr>
                  </m:ctrlPr>
                </m:sSubPr>
                <m:e>
                  <m:r>
                    <w:rPr>
                      <w:rFonts w:ascii="Cambria Math" w:hAnsi="Cambria Math" w:cstheme="minorHAnsi"/>
                      <w:sz w:val="20"/>
                    </w:rPr>
                    <m:t>η</m:t>
                  </m:r>
                </m:e>
                <m:sub>
                  <m:r>
                    <w:rPr>
                      <w:rFonts w:ascii="Cambria Math" w:hAnsi="Cambria Math" w:cstheme="minorHAnsi"/>
                      <w:sz w:val="20"/>
                    </w:rPr>
                    <m:t>s,h</m:t>
                  </m:r>
                </m:sub>
              </m:sSub>
              <m:r>
                <w:rPr>
                  <w:rFonts w:ascii="Cambria Math" w:hAnsi="Cambria Math" w:cstheme="minorHAnsi"/>
                  <w:sz w:val="20"/>
                </w:rPr>
                <m:t>≥</m:t>
              </m:r>
            </m:oMath>
            <w:r w:rsidRPr="00C405F5">
              <w:rPr>
                <w:rFonts w:eastAsiaTheme="minorEastAsia"/>
                <w:sz w:val="20"/>
              </w:rPr>
              <w:t xml:space="preserve"> 230%</w:t>
            </w:r>
          </w:p>
        </w:tc>
        <w:tc>
          <w:tcPr>
            <w:tcW w:w="3000" w:type="dxa"/>
            <w:vAlign w:val="center"/>
          </w:tcPr>
          <w:p w14:paraId="7C989E61" w14:textId="77777777" w:rsidR="00CA0562" w:rsidRPr="00C405F5" w:rsidRDefault="00CA0562" w:rsidP="003C01B9">
            <w:pPr>
              <w:rPr>
                <w:rFonts w:eastAsiaTheme="minorEastAsia"/>
                <w:sz w:val="20"/>
              </w:rPr>
            </w:pPr>
            <w:r w:rsidRPr="00C405F5">
              <w:rPr>
                <w:rFonts w:eastAsiaTheme="minorEastAsia"/>
                <w:sz w:val="20"/>
              </w:rPr>
              <w:t xml:space="preserve">230% is the BAT level </w:t>
            </w:r>
            <w:r w:rsidR="00B85AFC">
              <w:rPr>
                <w:rFonts w:eastAsiaTheme="minorEastAsia"/>
                <w:sz w:val="20"/>
              </w:rPr>
              <w:t>for heat pumps &gt; 6 kW, this would</w:t>
            </w:r>
            <w:r w:rsidRPr="00C405F5">
              <w:rPr>
                <w:rFonts w:eastAsiaTheme="minorEastAsia"/>
                <w:sz w:val="20"/>
              </w:rPr>
              <w:t xml:space="preserve"> give incentive for those appliances to move beyond the BAT</w:t>
            </w:r>
          </w:p>
        </w:tc>
        <w:tc>
          <w:tcPr>
            <w:tcW w:w="1560" w:type="dxa"/>
            <w:vAlign w:val="center"/>
          </w:tcPr>
          <w:p w14:paraId="0600F597" w14:textId="77777777" w:rsidR="00CA0562" w:rsidRPr="00C405F5" w:rsidRDefault="00CA0562" w:rsidP="003C01B9">
            <w:pPr>
              <w:rPr>
                <w:rFonts w:eastAsiaTheme="minorEastAsia"/>
                <w:sz w:val="20"/>
              </w:rPr>
            </w:pPr>
            <w:r w:rsidRPr="00C405F5">
              <w:rPr>
                <w:rFonts w:eastAsiaTheme="minorEastAsia"/>
                <w:sz w:val="20"/>
              </w:rPr>
              <w:t>Heat pumps</w:t>
            </w:r>
          </w:p>
        </w:tc>
        <w:tc>
          <w:tcPr>
            <w:tcW w:w="1620" w:type="dxa"/>
            <w:vAlign w:val="center"/>
          </w:tcPr>
          <w:p w14:paraId="6DDA4931" w14:textId="77777777" w:rsidR="00CA0562" w:rsidRPr="00C405F5" w:rsidRDefault="00CA0562" w:rsidP="003C01B9">
            <w:pPr>
              <w:rPr>
                <w:rFonts w:eastAsiaTheme="minorEastAsia"/>
                <w:sz w:val="20"/>
              </w:rPr>
            </w:pPr>
          </w:p>
        </w:tc>
      </w:tr>
      <w:tr w:rsidR="00C405F5" w:rsidRPr="00C405F5" w14:paraId="04C2FAD7" w14:textId="77777777" w:rsidTr="003C01B9">
        <w:tc>
          <w:tcPr>
            <w:tcW w:w="1068" w:type="dxa"/>
            <w:vAlign w:val="center"/>
          </w:tcPr>
          <w:p w14:paraId="521D4B53" w14:textId="77777777" w:rsidR="00CA0562" w:rsidRPr="00C405F5" w:rsidRDefault="00CA0562" w:rsidP="003C01B9">
            <w:pPr>
              <w:rPr>
                <w:sz w:val="20"/>
              </w:rPr>
            </w:pPr>
            <w:r w:rsidRPr="00C405F5">
              <w:rPr>
                <w:sz w:val="20"/>
              </w:rPr>
              <w:t>C</w:t>
            </w:r>
          </w:p>
        </w:tc>
        <w:tc>
          <w:tcPr>
            <w:tcW w:w="2040" w:type="dxa"/>
            <w:vAlign w:val="center"/>
          </w:tcPr>
          <w:p w14:paraId="48DF8D69" w14:textId="77777777" w:rsidR="00CA0562" w:rsidRPr="00C405F5" w:rsidRDefault="00CA0562" w:rsidP="003C01B9">
            <w:pPr>
              <w:rPr>
                <w:sz w:val="20"/>
              </w:rPr>
            </w:pPr>
            <w:r w:rsidRPr="00C405F5">
              <w:rPr>
                <w:rFonts w:eastAsiaTheme="minorEastAsia"/>
                <w:sz w:val="20"/>
              </w:rPr>
              <w:t xml:space="preserve">230% </w:t>
            </w:r>
            <m:oMath>
              <m:r>
                <w:rPr>
                  <w:rFonts w:ascii="Cambria Math" w:eastAsiaTheme="minorEastAsia" w:hAnsi="Cambria Math"/>
                  <w:sz w:val="20"/>
                </w:rPr>
                <m:t>&gt;</m:t>
              </m:r>
              <m:sSub>
                <m:sSubPr>
                  <m:ctrlPr>
                    <w:rPr>
                      <w:rFonts w:ascii="Cambria Math" w:hAnsi="Cambria Math" w:cstheme="minorHAnsi"/>
                      <w:i/>
                      <w:sz w:val="20"/>
                    </w:rPr>
                  </m:ctrlPr>
                </m:sSubPr>
                <m:e>
                  <m:r>
                    <w:rPr>
                      <w:rFonts w:ascii="Cambria Math" w:hAnsi="Cambria Math" w:cstheme="minorHAnsi"/>
                      <w:sz w:val="20"/>
                    </w:rPr>
                    <m:t>η</m:t>
                  </m:r>
                </m:e>
                <m:sub>
                  <m:r>
                    <w:rPr>
                      <w:rFonts w:ascii="Cambria Math" w:hAnsi="Cambria Math" w:cstheme="minorHAnsi"/>
                      <w:sz w:val="20"/>
                    </w:rPr>
                    <m:t>s,h</m:t>
                  </m:r>
                </m:sub>
              </m:sSub>
              <m:r>
                <w:rPr>
                  <w:rFonts w:ascii="Cambria Math" w:hAnsi="Cambria Math" w:cstheme="minorHAnsi"/>
                  <w:sz w:val="20"/>
                </w:rPr>
                <m:t>≥</m:t>
              </m:r>
            </m:oMath>
            <w:r w:rsidRPr="00C405F5">
              <w:rPr>
                <w:rFonts w:eastAsiaTheme="minorEastAsia"/>
                <w:sz w:val="20"/>
              </w:rPr>
              <w:t xml:space="preserve"> 136%</w:t>
            </w:r>
          </w:p>
        </w:tc>
        <w:tc>
          <w:tcPr>
            <w:tcW w:w="3000" w:type="dxa"/>
            <w:vAlign w:val="center"/>
          </w:tcPr>
          <w:p w14:paraId="4340E251" w14:textId="77777777" w:rsidR="00CA0562" w:rsidRPr="00C405F5" w:rsidRDefault="00CA0562" w:rsidP="003C01B9">
            <w:pPr>
              <w:rPr>
                <w:rFonts w:eastAsiaTheme="minorEastAsia"/>
                <w:sz w:val="20"/>
              </w:rPr>
            </w:pPr>
            <w:r w:rsidRPr="00C405F5">
              <w:rPr>
                <w:rFonts w:eastAsiaTheme="minorEastAsia"/>
                <w:sz w:val="20"/>
              </w:rPr>
              <w:t xml:space="preserve">136% is the BAT for solid fuel local space heaters, </w:t>
            </w:r>
            <w:r w:rsidR="00B85AFC">
              <w:rPr>
                <w:rFonts w:eastAsiaTheme="minorEastAsia"/>
                <w:sz w:val="20"/>
              </w:rPr>
              <w:t>this would</w:t>
            </w:r>
            <w:r w:rsidRPr="00C405F5">
              <w:rPr>
                <w:rFonts w:eastAsiaTheme="minorEastAsia"/>
                <w:sz w:val="20"/>
              </w:rPr>
              <w:t xml:space="preserve"> give incentive for those appliances to move beyond the BAT</w:t>
            </w:r>
          </w:p>
        </w:tc>
        <w:tc>
          <w:tcPr>
            <w:tcW w:w="1560" w:type="dxa"/>
            <w:vAlign w:val="center"/>
          </w:tcPr>
          <w:p w14:paraId="2B3709DB" w14:textId="77777777" w:rsidR="00CA0562" w:rsidRPr="00C405F5" w:rsidRDefault="00CA0562" w:rsidP="003C01B9">
            <w:pPr>
              <w:rPr>
                <w:rFonts w:eastAsiaTheme="minorEastAsia"/>
                <w:sz w:val="20"/>
              </w:rPr>
            </w:pPr>
            <w:r w:rsidRPr="00C405F5">
              <w:rPr>
                <w:rFonts w:eastAsiaTheme="minorEastAsia"/>
                <w:sz w:val="20"/>
              </w:rPr>
              <w:t>Heat pumps</w:t>
            </w:r>
          </w:p>
        </w:tc>
        <w:tc>
          <w:tcPr>
            <w:tcW w:w="1620" w:type="dxa"/>
            <w:vAlign w:val="center"/>
          </w:tcPr>
          <w:p w14:paraId="7981D485" w14:textId="77777777" w:rsidR="00CA0562" w:rsidRPr="00C405F5" w:rsidRDefault="00CA0562" w:rsidP="003C01B9">
            <w:pPr>
              <w:rPr>
                <w:rFonts w:eastAsiaTheme="minorEastAsia"/>
                <w:sz w:val="20"/>
              </w:rPr>
            </w:pPr>
            <w:r w:rsidRPr="00C405F5">
              <w:rPr>
                <w:rFonts w:eastAsiaTheme="minorEastAsia"/>
                <w:sz w:val="20"/>
              </w:rPr>
              <w:t>Solid fuel local space heaters</w:t>
            </w:r>
          </w:p>
        </w:tc>
      </w:tr>
      <w:tr w:rsidR="00C405F5" w:rsidRPr="00C405F5" w14:paraId="71CD9E30" w14:textId="77777777" w:rsidTr="003C01B9">
        <w:tc>
          <w:tcPr>
            <w:tcW w:w="1068" w:type="dxa"/>
            <w:vAlign w:val="center"/>
          </w:tcPr>
          <w:p w14:paraId="471DBBC8" w14:textId="77777777" w:rsidR="00CA0562" w:rsidRPr="00C405F5" w:rsidRDefault="00CA0562" w:rsidP="003C01B9">
            <w:pPr>
              <w:rPr>
                <w:sz w:val="20"/>
              </w:rPr>
            </w:pPr>
            <w:r w:rsidRPr="00C405F5">
              <w:rPr>
                <w:sz w:val="20"/>
              </w:rPr>
              <w:t>D</w:t>
            </w:r>
          </w:p>
        </w:tc>
        <w:tc>
          <w:tcPr>
            <w:tcW w:w="2040" w:type="dxa"/>
            <w:vAlign w:val="center"/>
          </w:tcPr>
          <w:p w14:paraId="5AB9D1E7" w14:textId="77777777" w:rsidR="00CA0562" w:rsidRPr="00C405F5" w:rsidRDefault="00CA0562" w:rsidP="003C01B9">
            <w:pPr>
              <w:rPr>
                <w:sz w:val="20"/>
              </w:rPr>
            </w:pPr>
            <w:r w:rsidRPr="00C405F5">
              <w:rPr>
                <w:rFonts w:eastAsiaTheme="minorEastAsia"/>
                <w:sz w:val="20"/>
              </w:rPr>
              <w:t xml:space="preserve">136% </w:t>
            </w:r>
            <m:oMath>
              <m:r>
                <w:rPr>
                  <w:rFonts w:ascii="Cambria Math" w:eastAsiaTheme="minorEastAsia" w:hAnsi="Cambria Math"/>
                  <w:sz w:val="20"/>
                </w:rPr>
                <m:t>&gt;</m:t>
              </m:r>
              <m:sSub>
                <m:sSubPr>
                  <m:ctrlPr>
                    <w:rPr>
                      <w:rFonts w:ascii="Cambria Math" w:hAnsi="Cambria Math" w:cstheme="minorHAnsi"/>
                      <w:i/>
                      <w:sz w:val="20"/>
                    </w:rPr>
                  </m:ctrlPr>
                </m:sSubPr>
                <m:e>
                  <m:r>
                    <w:rPr>
                      <w:rFonts w:ascii="Cambria Math" w:hAnsi="Cambria Math" w:cstheme="minorHAnsi"/>
                      <w:sz w:val="20"/>
                    </w:rPr>
                    <m:t>η</m:t>
                  </m:r>
                </m:e>
                <m:sub>
                  <m:r>
                    <w:rPr>
                      <w:rFonts w:ascii="Cambria Math" w:hAnsi="Cambria Math" w:cstheme="minorHAnsi"/>
                      <w:sz w:val="20"/>
                    </w:rPr>
                    <m:t>s,h</m:t>
                  </m:r>
                </m:sub>
              </m:sSub>
              <m:r>
                <w:rPr>
                  <w:rFonts w:ascii="Cambria Math" w:hAnsi="Cambria Math" w:cstheme="minorHAnsi"/>
                  <w:sz w:val="20"/>
                </w:rPr>
                <m:t>≥</m:t>
              </m:r>
            </m:oMath>
            <w:r w:rsidRPr="00C405F5">
              <w:rPr>
                <w:rFonts w:eastAsiaTheme="minorEastAsia"/>
                <w:sz w:val="20"/>
              </w:rPr>
              <w:t xml:space="preserve"> 88%</w:t>
            </w:r>
          </w:p>
        </w:tc>
        <w:tc>
          <w:tcPr>
            <w:tcW w:w="3000" w:type="dxa"/>
            <w:vAlign w:val="center"/>
          </w:tcPr>
          <w:p w14:paraId="25B67A7D" w14:textId="77777777" w:rsidR="00CA0562" w:rsidRPr="00C405F5" w:rsidRDefault="00CA0562" w:rsidP="0013447F">
            <w:pPr>
              <w:rPr>
                <w:rFonts w:eastAsiaTheme="minorEastAsia"/>
                <w:sz w:val="20"/>
              </w:rPr>
            </w:pPr>
            <w:r w:rsidRPr="00C405F5">
              <w:rPr>
                <w:rFonts w:eastAsiaTheme="minorEastAsia"/>
                <w:sz w:val="20"/>
              </w:rPr>
              <w:t xml:space="preserve">88% is the BAT for a gas and oil fuel local space heaters, this </w:t>
            </w:r>
            <w:r w:rsidR="00B85AFC">
              <w:rPr>
                <w:rFonts w:eastAsiaTheme="minorEastAsia"/>
                <w:sz w:val="20"/>
              </w:rPr>
              <w:t>would</w:t>
            </w:r>
            <w:r w:rsidRPr="00C405F5">
              <w:rPr>
                <w:rFonts w:eastAsiaTheme="minorEastAsia"/>
                <w:sz w:val="20"/>
              </w:rPr>
              <w:t xml:space="preserve"> give incentive for those appliances to move beyond the BAT</w:t>
            </w:r>
          </w:p>
        </w:tc>
        <w:tc>
          <w:tcPr>
            <w:tcW w:w="1560" w:type="dxa"/>
            <w:vAlign w:val="center"/>
          </w:tcPr>
          <w:p w14:paraId="6485D2A4" w14:textId="77777777" w:rsidR="00CA0562" w:rsidRPr="00C405F5" w:rsidRDefault="00CA0562" w:rsidP="003C01B9">
            <w:pPr>
              <w:rPr>
                <w:rFonts w:eastAsiaTheme="minorEastAsia"/>
                <w:sz w:val="20"/>
              </w:rPr>
            </w:pPr>
            <w:r w:rsidRPr="00C405F5">
              <w:rPr>
                <w:rFonts w:eastAsiaTheme="minorEastAsia"/>
                <w:sz w:val="20"/>
              </w:rPr>
              <w:t>Solid fuel local space heaters</w:t>
            </w:r>
          </w:p>
        </w:tc>
        <w:tc>
          <w:tcPr>
            <w:tcW w:w="1620" w:type="dxa"/>
            <w:vAlign w:val="center"/>
          </w:tcPr>
          <w:p w14:paraId="7CEED77C" w14:textId="77777777" w:rsidR="00CA0562" w:rsidRPr="00C405F5" w:rsidRDefault="00CA0562" w:rsidP="003C01B9">
            <w:pPr>
              <w:rPr>
                <w:rFonts w:eastAsiaTheme="minorEastAsia"/>
                <w:sz w:val="20"/>
              </w:rPr>
            </w:pPr>
            <w:r w:rsidRPr="00C405F5">
              <w:rPr>
                <w:rFonts w:eastAsiaTheme="minorEastAsia"/>
                <w:sz w:val="20"/>
              </w:rPr>
              <w:t>Gas and oil local space heaters</w:t>
            </w:r>
          </w:p>
        </w:tc>
      </w:tr>
      <w:tr w:rsidR="00C405F5" w:rsidRPr="00C405F5" w14:paraId="23D4708C" w14:textId="77777777" w:rsidTr="003C01B9">
        <w:tc>
          <w:tcPr>
            <w:tcW w:w="1068" w:type="dxa"/>
            <w:vAlign w:val="center"/>
          </w:tcPr>
          <w:p w14:paraId="783A983C" w14:textId="77777777" w:rsidR="00CA0562" w:rsidRPr="00C405F5" w:rsidRDefault="00CA0562" w:rsidP="003C01B9">
            <w:pPr>
              <w:rPr>
                <w:sz w:val="20"/>
              </w:rPr>
            </w:pPr>
            <w:r w:rsidRPr="00C405F5">
              <w:rPr>
                <w:sz w:val="20"/>
              </w:rPr>
              <w:t>E</w:t>
            </w:r>
          </w:p>
        </w:tc>
        <w:tc>
          <w:tcPr>
            <w:tcW w:w="2040" w:type="dxa"/>
            <w:vAlign w:val="center"/>
          </w:tcPr>
          <w:p w14:paraId="7AEF3F49" w14:textId="77777777" w:rsidR="00CA0562" w:rsidRPr="00C405F5" w:rsidRDefault="00CA0562" w:rsidP="003C01B9">
            <w:pPr>
              <w:rPr>
                <w:sz w:val="20"/>
              </w:rPr>
            </w:pPr>
            <w:r w:rsidRPr="00C405F5">
              <w:rPr>
                <w:rFonts w:eastAsiaTheme="minorEastAsia"/>
                <w:sz w:val="20"/>
              </w:rPr>
              <w:t xml:space="preserve">88% </w:t>
            </w:r>
            <m:oMath>
              <m:r>
                <w:rPr>
                  <w:rFonts w:ascii="Cambria Math" w:eastAsiaTheme="minorEastAsia" w:hAnsi="Cambria Math"/>
                  <w:sz w:val="20"/>
                </w:rPr>
                <m:t>&gt;</m:t>
              </m:r>
              <m:sSub>
                <m:sSubPr>
                  <m:ctrlPr>
                    <w:rPr>
                      <w:rFonts w:ascii="Cambria Math" w:hAnsi="Cambria Math" w:cstheme="minorHAnsi"/>
                      <w:i/>
                      <w:sz w:val="20"/>
                    </w:rPr>
                  </m:ctrlPr>
                </m:sSubPr>
                <m:e>
                  <m:r>
                    <w:rPr>
                      <w:rFonts w:ascii="Cambria Math" w:hAnsi="Cambria Math" w:cstheme="minorHAnsi"/>
                      <w:sz w:val="20"/>
                    </w:rPr>
                    <m:t>η</m:t>
                  </m:r>
                </m:e>
                <m:sub>
                  <m:r>
                    <w:rPr>
                      <w:rFonts w:ascii="Cambria Math" w:hAnsi="Cambria Math" w:cstheme="minorHAnsi"/>
                      <w:sz w:val="20"/>
                    </w:rPr>
                    <m:t>s,h</m:t>
                  </m:r>
                </m:sub>
              </m:sSub>
              <m:r>
                <w:rPr>
                  <w:rFonts w:ascii="Cambria Math" w:hAnsi="Cambria Math" w:cstheme="minorHAnsi"/>
                  <w:sz w:val="20"/>
                </w:rPr>
                <m:t>≥</m:t>
              </m:r>
            </m:oMath>
            <w:r w:rsidRPr="00C405F5">
              <w:rPr>
                <w:rFonts w:eastAsiaTheme="minorEastAsia"/>
                <w:sz w:val="20"/>
              </w:rPr>
              <w:t xml:space="preserve"> </w:t>
            </w:r>
            <w:r w:rsidR="00C405F5" w:rsidRPr="00C405F5">
              <w:rPr>
                <w:rFonts w:eastAsiaTheme="minorEastAsia"/>
                <w:sz w:val="20"/>
              </w:rPr>
              <w:t>7</w:t>
            </w:r>
            <w:r w:rsidR="00FF733B">
              <w:rPr>
                <w:rFonts w:eastAsiaTheme="minorEastAsia"/>
                <w:sz w:val="20"/>
              </w:rPr>
              <w:t>6</w:t>
            </w:r>
            <w:r w:rsidRPr="00C405F5">
              <w:rPr>
                <w:rFonts w:eastAsiaTheme="minorEastAsia"/>
                <w:sz w:val="20"/>
              </w:rPr>
              <w:t>%</w:t>
            </w:r>
          </w:p>
        </w:tc>
        <w:tc>
          <w:tcPr>
            <w:tcW w:w="3000" w:type="dxa"/>
            <w:vAlign w:val="center"/>
          </w:tcPr>
          <w:p w14:paraId="475BDFB6" w14:textId="77777777" w:rsidR="00CA0562" w:rsidRPr="00C405F5" w:rsidRDefault="00C405F5" w:rsidP="00F62AEE">
            <w:pPr>
              <w:rPr>
                <w:rFonts w:eastAsiaTheme="minorEastAsia"/>
                <w:sz w:val="20"/>
              </w:rPr>
            </w:pPr>
            <w:r>
              <w:rPr>
                <w:rFonts w:eastAsiaTheme="minorEastAsia"/>
                <w:sz w:val="20"/>
              </w:rPr>
              <w:t xml:space="preserve">76% is </w:t>
            </w:r>
            <w:r w:rsidR="00F62AEE">
              <w:rPr>
                <w:rFonts w:eastAsiaTheme="minorEastAsia"/>
                <w:sz w:val="20"/>
              </w:rPr>
              <w:t>more or less</w:t>
            </w:r>
            <w:r>
              <w:rPr>
                <w:rFonts w:eastAsiaTheme="minorEastAsia"/>
                <w:sz w:val="20"/>
              </w:rPr>
              <w:t xml:space="preserve"> the </w:t>
            </w:r>
            <w:r w:rsidR="00F62AEE">
              <w:rPr>
                <w:rFonts w:eastAsiaTheme="minorEastAsia"/>
                <w:sz w:val="20"/>
              </w:rPr>
              <w:t xml:space="preserve">average </w:t>
            </w:r>
            <w:r>
              <w:rPr>
                <w:rFonts w:eastAsiaTheme="minorEastAsia"/>
                <w:sz w:val="20"/>
              </w:rPr>
              <w:t xml:space="preserve">between the E and the G class </w:t>
            </w:r>
          </w:p>
        </w:tc>
        <w:tc>
          <w:tcPr>
            <w:tcW w:w="1560" w:type="dxa"/>
            <w:vAlign w:val="center"/>
          </w:tcPr>
          <w:p w14:paraId="2AA21D43" w14:textId="77777777" w:rsidR="00CA0562" w:rsidRPr="00C405F5" w:rsidRDefault="00CA0562" w:rsidP="003C01B9">
            <w:pPr>
              <w:rPr>
                <w:rFonts w:eastAsiaTheme="minorEastAsia"/>
                <w:sz w:val="20"/>
              </w:rPr>
            </w:pPr>
            <w:r w:rsidRPr="00C405F5">
              <w:rPr>
                <w:rFonts w:eastAsiaTheme="minorEastAsia"/>
                <w:sz w:val="20"/>
              </w:rPr>
              <w:t>Gas</w:t>
            </w:r>
            <w:r w:rsidR="00FF733B">
              <w:rPr>
                <w:rFonts w:eastAsiaTheme="minorEastAsia"/>
                <w:sz w:val="20"/>
              </w:rPr>
              <w:t xml:space="preserve">, </w:t>
            </w:r>
            <w:r w:rsidRPr="00C405F5">
              <w:rPr>
                <w:rFonts w:eastAsiaTheme="minorEastAsia"/>
                <w:sz w:val="20"/>
              </w:rPr>
              <w:t>oil</w:t>
            </w:r>
            <w:r w:rsidR="00FF733B">
              <w:rPr>
                <w:rFonts w:eastAsiaTheme="minorEastAsia"/>
                <w:sz w:val="20"/>
              </w:rPr>
              <w:t xml:space="preserve"> and solid fuel</w:t>
            </w:r>
            <w:r w:rsidRPr="00C405F5">
              <w:rPr>
                <w:rFonts w:eastAsiaTheme="minorEastAsia"/>
                <w:sz w:val="20"/>
              </w:rPr>
              <w:t xml:space="preserve"> local space heaters</w:t>
            </w:r>
          </w:p>
        </w:tc>
        <w:tc>
          <w:tcPr>
            <w:tcW w:w="1620" w:type="dxa"/>
            <w:vAlign w:val="center"/>
          </w:tcPr>
          <w:p w14:paraId="28496C82" w14:textId="77777777" w:rsidR="00CA0562" w:rsidRPr="00C405F5" w:rsidRDefault="00CA0562" w:rsidP="003C01B9">
            <w:pPr>
              <w:rPr>
                <w:rFonts w:eastAsiaTheme="minorEastAsia"/>
                <w:sz w:val="20"/>
              </w:rPr>
            </w:pPr>
          </w:p>
        </w:tc>
      </w:tr>
      <w:tr w:rsidR="00FF733B" w:rsidRPr="00C405F5" w14:paraId="221A3FE0" w14:textId="77777777" w:rsidTr="003C01B9">
        <w:trPr>
          <w:trHeight w:val="70"/>
        </w:trPr>
        <w:tc>
          <w:tcPr>
            <w:tcW w:w="1068" w:type="dxa"/>
            <w:vAlign w:val="center"/>
          </w:tcPr>
          <w:p w14:paraId="27EE82FA" w14:textId="77777777" w:rsidR="00CA0562" w:rsidRPr="00C405F5" w:rsidRDefault="00CA0562" w:rsidP="003C01B9">
            <w:pPr>
              <w:rPr>
                <w:sz w:val="20"/>
              </w:rPr>
            </w:pPr>
            <w:r w:rsidRPr="00C405F5">
              <w:rPr>
                <w:sz w:val="20"/>
              </w:rPr>
              <w:t>F</w:t>
            </w:r>
          </w:p>
        </w:tc>
        <w:tc>
          <w:tcPr>
            <w:tcW w:w="2040" w:type="dxa"/>
            <w:vAlign w:val="center"/>
          </w:tcPr>
          <w:p w14:paraId="04237BAD" w14:textId="77777777" w:rsidR="00CA0562" w:rsidRPr="00C405F5" w:rsidRDefault="00C405F5" w:rsidP="003C01B9">
            <w:pPr>
              <w:rPr>
                <w:rFonts w:eastAsiaTheme="minorEastAsia"/>
                <w:sz w:val="20"/>
              </w:rPr>
            </w:pPr>
            <w:r w:rsidRPr="00C405F5">
              <w:rPr>
                <w:rFonts w:eastAsiaTheme="minorEastAsia"/>
                <w:sz w:val="20"/>
              </w:rPr>
              <w:t>7</w:t>
            </w:r>
            <w:r>
              <w:rPr>
                <w:rFonts w:eastAsiaTheme="minorEastAsia"/>
                <w:sz w:val="20"/>
              </w:rPr>
              <w:t>6</w:t>
            </w:r>
            <w:r w:rsidR="00CA0562" w:rsidRPr="00C405F5">
              <w:rPr>
                <w:rFonts w:eastAsiaTheme="minorEastAsia"/>
                <w:sz w:val="20"/>
              </w:rPr>
              <w:t xml:space="preserve">% </w:t>
            </w:r>
            <m:oMath>
              <m:r>
                <w:rPr>
                  <w:rFonts w:ascii="Cambria Math" w:eastAsiaTheme="minorEastAsia" w:hAnsi="Cambria Math"/>
                  <w:sz w:val="20"/>
                </w:rPr>
                <m:t>&gt;</m:t>
              </m:r>
              <m:sSub>
                <m:sSubPr>
                  <m:ctrlPr>
                    <w:rPr>
                      <w:rFonts w:ascii="Cambria Math" w:hAnsi="Cambria Math" w:cstheme="minorHAnsi"/>
                      <w:i/>
                      <w:sz w:val="20"/>
                    </w:rPr>
                  </m:ctrlPr>
                </m:sSubPr>
                <m:e>
                  <m:r>
                    <w:rPr>
                      <w:rFonts w:ascii="Cambria Math" w:hAnsi="Cambria Math" w:cstheme="minorHAnsi"/>
                      <w:sz w:val="20"/>
                    </w:rPr>
                    <m:t>η</m:t>
                  </m:r>
                </m:e>
                <m:sub>
                  <m:r>
                    <w:rPr>
                      <w:rFonts w:ascii="Cambria Math" w:hAnsi="Cambria Math" w:cstheme="minorHAnsi"/>
                      <w:sz w:val="20"/>
                    </w:rPr>
                    <m:t>s,h</m:t>
                  </m:r>
                </m:sub>
              </m:sSub>
              <m:r>
                <w:rPr>
                  <w:rFonts w:ascii="Cambria Math" w:hAnsi="Cambria Math" w:cstheme="minorHAnsi"/>
                  <w:sz w:val="20"/>
                </w:rPr>
                <m:t>≥</m:t>
              </m:r>
            </m:oMath>
            <w:r w:rsidR="00CA0562" w:rsidRPr="00C405F5">
              <w:rPr>
                <w:rFonts w:eastAsiaTheme="minorEastAsia"/>
                <w:sz w:val="20"/>
              </w:rPr>
              <w:t xml:space="preserve"> </w:t>
            </w:r>
            <w:r w:rsidRPr="00C405F5">
              <w:rPr>
                <w:rFonts w:eastAsiaTheme="minorEastAsia"/>
                <w:sz w:val="20"/>
              </w:rPr>
              <w:t>65</w:t>
            </w:r>
            <w:r w:rsidR="00CA0562" w:rsidRPr="00C405F5">
              <w:rPr>
                <w:rFonts w:eastAsiaTheme="minorEastAsia"/>
                <w:sz w:val="20"/>
              </w:rPr>
              <w:t>%</w:t>
            </w:r>
          </w:p>
        </w:tc>
        <w:tc>
          <w:tcPr>
            <w:tcW w:w="3000" w:type="dxa"/>
            <w:vAlign w:val="center"/>
          </w:tcPr>
          <w:p w14:paraId="604C60EE" w14:textId="77777777" w:rsidR="00CA0562" w:rsidRPr="00C405F5" w:rsidRDefault="00C405F5" w:rsidP="003C01B9">
            <w:pPr>
              <w:rPr>
                <w:rFonts w:eastAsiaTheme="minorEastAsia"/>
                <w:sz w:val="20"/>
              </w:rPr>
            </w:pPr>
            <w:r w:rsidRPr="00C405F5">
              <w:rPr>
                <w:rFonts w:eastAsiaTheme="minorEastAsia"/>
                <w:sz w:val="20"/>
              </w:rPr>
              <w:t xml:space="preserve">65% is the BAT for open fronted gas and oil technologies, this </w:t>
            </w:r>
            <w:r w:rsidR="00B85AFC">
              <w:rPr>
                <w:rFonts w:eastAsiaTheme="minorEastAsia"/>
                <w:sz w:val="20"/>
              </w:rPr>
              <w:t>would</w:t>
            </w:r>
            <w:r w:rsidRPr="00C405F5">
              <w:rPr>
                <w:rFonts w:eastAsiaTheme="minorEastAsia"/>
                <w:sz w:val="20"/>
              </w:rPr>
              <w:t xml:space="preserve"> give incentive for those appliances to move beyond the BAT</w:t>
            </w:r>
          </w:p>
        </w:tc>
        <w:tc>
          <w:tcPr>
            <w:tcW w:w="1560" w:type="dxa"/>
            <w:vAlign w:val="center"/>
          </w:tcPr>
          <w:p w14:paraId="6D2F766E" w14:textId="77777777" w:rsidR="00CA0562" w:rsidRPr="00C405F5" w:rsidRDefault="00FF733B" w:rsidP="003C01B9">
            <w:pPr>
              <w:rPr>
                <w:rFonts w:eastAsiaTheme="minorEastAsia"/>
                <w:sz w:val="20"/>
              </w:rPr>
            </w:pPr>
            <w:r w:rsidRPr="00C405F5">
              <w:rPr>
                <w:rFonts w:eastAsiaTheme="minorEastAsia"/>
                <w:sz w:val="20"/>
              </w:rPr>
              <w:t>Gas</w:t>
            </w:r>
            <w:r>
              <w:rPr>
                <w:rFonts w:eastAsiaTheme="minorEastAsia"/>
                <w:sz w:val="20"/>
              </w:rPr>
              <w:t xml:space="preserve">, </w:t>
            </w:r>
            <w:r w:rsidRPr="00C405F5">
              <w:rPr>
                <w:rFonts w:eastAsiaTheme="minorEastAsia"/>
                <w:sz w:val="20"/>
              </w:rPr>
              <w:t>oil</w:t>
            </w:r>
            <w:r>
              <w:rPr>
                <w:rFonts w:eastAsiaTheme="minorEastAsia"/>
                <w:sz w:val="20"/>
              </w:rPr>
              <w:t xml:space="preserve"> and solid fuel</w:t>
            </w:r>
            <w:r w:rsidRPr="00C405F5">
              <w:rPr>
                <w:rFonts w:eastAsiaTheme="minorEastAsia"/>
                <w:sz w:val="20"/>
              </w:rPr>
              <w:t xml:space="preserve"> local space heaters</w:t>
            </w:r>
            <w:r>
              <w:rPr>
                <w:rFonts w:eastAsiaTheme="minorEastAsia"/>
                <w:sz w:val="20"/>
              </w:rPr>
              <w:t xml:space="preserve">, </w:t>
            </w:r>
            <w:r w:rsidRPr="00C405F5">
              <w:rPr>
                <w:rFonts w:eastAsiaTheme="minorEastAsia"/>
                <w:sz w:val="20"/>
              </w:rPr>
              <w:t>tube local space heaters</w:t>
            </w:r>
          </w:p>
        </w:tc>
        <w:tc>
          <w:tcPr>
            <w:tcW w:w="1620" w:type="dxa"/>
            <w:vAlign w:val="center"/>
          </w:tcPr>
          <w:p w14:paraId="50DF5059" w14:textId="77777777" w:rsidR="00CA0562" w:rsidRPr="00C405F5" w:rsidRDefault="00FF733B" w:rsidP="003C01B9">
            <w:pPr>
              <w:rPr>
                <w:rFonts w:eastAsiaTheme="minorEastAsia"/>
                <w:sz w:val="20"/>
              </w:rPr>
            </w:pPr>
            <w:r w:rsidRPr="00C405F5">
              <w:rPr>
                <w:rFonts w:eastAsiaTheme="minorEastAsia"/>
                <w:sz w:val="20"/>
              </w:rPr>
              <w:t>Open fronted gas and oil technologies</w:t>
            </w:r>
          </w:p>
        </w:tc>
      </w:tr>
      <w:tr w:rsidR="00C405F5" w:rsidRPr="00C405F5" w14:paraId="50C7D823" w14:textId="77777777" w:rsidTr="003C01B9">
        <w:trPr>
          <w:trHeight w:val="70"/>
        </w:trPr>
        <w:tc>
          <w:tcPr>
            <w:tcW w:w="1068" w:type="dxa"/>
            <w:vAlign w:val="center"/>
          </w:tcPr>
          <w:p w14:paraId="64112A2C" w14:textId="77777777" w:rsidR="00CA0562" w:rsidRPr="00C405F5" w:rsidRDefault="00CA0562" w:rsidP="003C01B9">
            <w:pPr>
              <w:rPr>
                <w:sz w:val="20"/>
              </w:rPr>
            </w:pPr>
            <w:r w:rsidRPr="00C405F5">
              <w:rPr>
                <w:sz w:val="20"/>
              </w:rPr>
              <w:t>G</w:t>
            </w:r>
          </w:p>
        </w:tc>
        <w:tc>
          <w:tcPr>
            <w:tcW w:w="2040" w:type="dxa"/>
            <w:vAlign w:val="center"/>
          </w:tcPr>
          <w:p w14:paraId="018BC3DD" w14:textId="77777777" w:rsidR="00CA0562" w:rsidRPr="00C405F5" w:rsidRDefault="00C405F5" w:rsidP="003C01B9">
            <w:pPr>
              <w:rPr>
                <w:sz w:val="20"/>
              </w:rPr>
            </w:pPr>
            <w:r w:rsidRPr="00C405F5">
              <w:rPr>
                <w:rFonts w:eastAsiaTheme="minorEastAsia"/>
                <w:sz w:val="20"/>
              </w:rPr>
              <w:t>6</w:t>
            </w:r>
            <w:r w:rsidR="00CA0562" w:rsidRPr="00C405F5">
              <w:rPr>
                <w:rFonts w:eastAsiaTheme="minorEastAsia"/>
                <w:sz w:val="20"/>
              </w:rPr>
              <w:t xml:space="preserve">5% </w:t>
            </w:r>
            <m:oMath>
              <m:r>
                <w:rPr>
                  <w:rFonts w:ascii="Cambria Math" w:eastAsiaTheme="minorEastAsia" w:hAnsi="Cambria Math"/>
                  <w:sz w:val="20"/>
                </w:rPr>
                <m:t>&gt;</m:t>
              </m:r>
              <m:sSub>
                <m:sSubPr>
                  <m:ctrlPr>
                    <w:rPr>
                      <w:rFonts w:ascii="Cambria Math" w:hAnsi="Cambria Math" w:cstheme="minorHAnsi"/>
                      <w:i/>
                      <w:sz w:val="20"/>
                    </w:rPr>
                  </m:ctrlPr>
                </m:sSubPr>
                <m:e>
                  <m:r>
                    <w:rPr>
                      <w:rFonts w:ascii="Cambria Math" w:hAnsi="Cambria Math" w:cstheme="minorHAnsi"/>
                      <w:sz w:val="20"/>
                    </w:rPr>
                    <m:t>η</m:t>
                  </m:r>
                </m:e>
                <m:sub>
                  <m:r>
                    <w:rPr>
                      <w:rFonts w:ascii="Cambria Math" w:hAnsi="Cambria Math" w:cstheme="minorHAnsi"/>
                      <w:sz w:val="20"/>
                    </w:rPr>
                    <m:t>s,h</m:t>
                  </m:r>
                </m:sub>
              </m:sSub>
            </m:oMath>
          </w:p>
        </w:tc>
        <w:tc>
          <w:tcPr>
            <w:tcW w:w="3000" w:type="dxa"/>
            <w:vAlign w:val="center"/>
          </w:tcPr>
          <w:p w14:paraId="69E59BA5" w14:textId="77777777" w:rsidR="00CA0562" w:rsidRPr="00C405F5" w:rsidRDefault="00CA0562" w:rsidP="003C01B9">
            <w:pPr>
              <w:rPr>
                <w:rFonts w:eastAsiaTheme="minorEastAsia"/>
                <w:sz w:val="20"/>
              </w:rPr>
            </w:pPr>
          </w:p>
        </w:tc>
        <w:tc>
          <w:tcPr>
            <w:tcW w:w="1560" w:type="dxa"/>
            <w:vAlign w:val="center"/>
          </w:tcPr>
          <w:p w14:paraId="28910926" w14:textId="77777777" w:rsidR="00CA0562" w:rsidRPr="00C405F5" w:rsidRDefault="00CA0562" w:rsidP="003C01B9">
            <w:pPr>
              <w:rPr>
                <w:rFonts w:eastAsiaTheme="minorEastAsia"/>
                <w:sz w:val="20"/>
              </w:rPr>
            </w:pPr>
            <w:r w:rsidRPr="00C405F5">
              <w:rPr>
                <w:rFonts w:eastAsiaTheme="minorEastAsia"/>
                <w:sz w:val="20"/>
              </w:rPr>
              <w:t>Open fronted technologies</w:t>
            </w:r>
          </w:p>
        </w:tc>
        <w:tc>
          <w:tcPr>
            <w:tcW w:w="1620" w:type="dxa"/>
            <w:vAlign w:val="center"/>
          </w:tcPr>
          <w:p w14:paraId="5F18AD93" w14:textId="77777777" w:rsidR="00CA0562" w:rsidRPr="00C405F5" w:rsidRDefault="00CA0562" w:rsidP="003C01B9">
            <w:pPr>
              <w:rPr>
                <w:rFonts w:eastAsiaTheme="minorEastAsia"/>
                <w:sz w:val="20"/>
              </w:rPr>
            </w:pPr>
          </w:p>
        </w:tc>
      </w:tr>
    </w:tbl>
    <w:p w14:paraId="1DBB9A99" w14:textId="77777777" w:rsidR="00240776" w:rsidRDefault="00240776"/>
    <w:p w14:paraId="412697EE" w14:textId="77777777" w:rsidR="0013447F" w:rsidRDefault="0013447F">
      <w:r>
        <w:br w:type="page"/>
      </w:r>
    </w:p>
    <w:p w14:paraId="009F4FB8" w14:textId="77777777" w:rsidR="008C25EC" w:rsidRPr="00041F03" w:rsidRDefault="008C25EC" w:rsidP="008C25EC">
      <w:pPr>
        <w:jc w:val="center"/>
        <w:rPr>
          <w:b/>
          <w:u w:val="single"/>
        </w:rPr>
      </w:pPr>
      <w:r w:rsidRPr="00041F03">
        <w:rPr>
          <w:b/>
          <w:u w:val="single"/>
        </w:rPr>
        <w:lastRenderedPageBreak/>
        <w:t>Annex II</w:t>
      </w:r>
    </w:p>
    <w:p w14:paraId="7AC1F98A" w14:textId="77777777" w:rsidR="00C520B4" w:rsidRPr="00111337" w:rsidRDefault="007E15EB" w:rsidP="00BB7562">
      <w:pPr>
        <w:rPr>
          <w:u w:val="single"/>
        </w:rPr>
      </w:pPr>
      <w:r w:rsidRPr="00111337">
        <w:rPr>
          <w:u w:val="single"/>
        </w:rPr>
        <w:t xml:space="preserve">Updated </w:t>
      </w:r>
      <w:r w:rsidR="00111337" w:rsidRPr="00111337">
        <w:rPr>
          <w:u w:val="single"/>
        </w:rPr>
        <w:t>options</w:t>
      </w:r>
      <w:r w:rsidRPr="00111337">
        <w:rPr>
          <w:u w:val="single"/>
        </w:rPr>
        <w:t xml:space="preserve"> </w:t>
      </w:r>
      <w:r w:rsidR="0013447F" w:rsidRPr="00111337">
        <w:rPr>
          <w:u w:val="single"/>
        </w:rPr>
        <w:t>after the initial consultation</w:t>
      </w:r>
    </w:p>
    <w:tbl>
      <w:tblPr>
        <w:tblStyle w:val="TableGrid"/>
        <w:tblW w:w="5000" w:type="pct"/>
        <w:tblLook w:val="04A0" w:firstRow="1" w:lastRow="0" w:firstColumn="1" w:lastColumn="0" w:noHBand="0" w:noVBand="1"/>
      </w:tblPr>
      <w:tblGrid>
        <w:gridCol w:w="1507"/>
        <w:gridCol w:w="2594"/>
        <w:gridCol w:w="2590"/>
        <w:gridCol w:w="2371"/>
      </w:tblGrid>
      <w:tr w:rsidR="00ED0BB9" w:rsidRPr="00C405F5" w14:paraId="0471BFF6" w14:textId="77777777" w:rsidTr="00F62AEE">
        <w:trPr>
          <w:trHeight w:val="1465"/>
        </w:trPr>
        <w:tc>
          <w:tcPr>
            <w:tcW w:w="832" w:type="pct"/>
            <w:vAlign w:val="center"/>
          </w:tcPr>
          <w:p w14:paraId="7E8F3012" w14:textId="77777777" w:rsidR="00ED0BB9" w:rsidRPr="00ED0BB9" w:rsidRDefault="00ED0BB9" w:rsidP="00F62AEE">
            <w:pPr>
              <w:jc w:val="center"/>
            </w:pPr>
            <w:r w:rsidRPr="00ED0BB9">
              <w:t>Energy efficiency class</w:t>
            </w:r>
          </w:p>
        </w:tc>
        <w:tc>
          <w:tcPr>
            <w:tcW w:w="1431" w:type="pct"/>
            <w:vAlign w:val="center"/>
          </w:tcPr>
          <w:p w14:paraId="5634218B" w14:textId="77777777" w:rsidR="00ED0BB9" w:rsidRPr="00ED0BB9" w:rsidRDefault="00ED0BB9" w:rsidP="00F62AEE">
            <w:pPr>
              <w:jc w:val="center"/>
            </w:pPr>
            <w:r w:rsidRPr="00ED0BB9">
              <w:t>Without electric local space heaters</w:t>
            </w:r>
          </w:p>
        </w:tc>
        <w:tc>
          <w:tcPr>
            <w:tcW w:w="1429" w:type="pct"/>
            <w:vAlign w:val="center"/>
          </w:tcPr>
          <w:p w14:paraId="28F7A6D7" w14:textId="77777777" w:rsidR="00ED0BB9" w:rsidRPr="00ED0BB9" w:rsidRDefault="00ED0BB9" w:rsidP="00F62AEE">
            <w:pPr>
              <w:jc w:val="center"/>
            </w:pPr>
            <w:r w:rsidRPr="00ED0BB9">
              <w:rPr>
                <w:rFonts w:eastAsiaTheme="minorEastAsia"/>
              </w:rPr>
              <w:t>With electric local space heaters</w:t>
            </w:r>
          </w:p>
        </w:tc>
        <w:tc>
          <w:tcPr>
            <w:tcW w:w="1308" w:type="pct"/>
            <w:vAlign w:val="center"/>
          </w:tcPr>
          <w:p w14:paraId="3FC85BAD" w14:textId="77777777" w:rsidR="00ED0BB9" w:rsidRPr="00ED0BB9" w:rsidRDefault="00ED0BB9" w:rsidP="00F62AEE">
            <w:pPr>
              <w:jc w:val="center"/>
            </w:pPr>
            <w:r>
              <w:t>With 1/</w:t>
            </w:r>
            <m:oMath>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oMath>
            <w:r>
              <w:rPr>
                <w:rFonts w:eastAsiaTheme="minorEastAsia"/>
              </w:rPr>
              <w:t xml:space="preserve"> instead of </w:t>
            </w:r>
            <m:oMath>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oMath>
          </w:p>
        </w:tc>
      </w:tr>
      <w:tr w:rsidR="00ED0BB9" w:rsidRPr="00C405F5" w14:paraId="7D743E25" w14:textId="77777777" w:rsidTr="00ED0BB9">
        <w:trPr>
          <w:trHeight w:val="181"/>
        </w:trPr>
        <w:tc>
          <w:tcPr>
            <w:tcW w:w="832" w:type="pct"/>
            <w:vAlign w:val="center"/>
          </w:tcPr>
          <w:p w14:paraId="1ADDF81E" w14:textId="77777777" w:rsidR="00ED0BB9" w:rsidRPr="00ED0BB9" w:rsidRDefault="00ED0BB9" w:rsidP="007E15EB">
            <w:r w:rsidRPr="00ED0BB9">
              <w:t>A</w:t>
            </w:r>
          </w:p>
        </w:tc>
        <w:tc>
          <w:tcPr>
            <w:tcW w:w="1431" w:type="pct"/>
            <w:vAlign w:val="center"/>
          </w:tcPr>
          <w:p w14:paraId="50844FC5" w14:textId="77777777" w:rsidR="00ED0BB9" w:rsidRPr="00ED0BB9" w:rsidRDefault="00E35D1D" w:rsidP="007E15EB">
            <m:oMath>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r>
                <w:rPr>
                  <w:rFonts w:ascii="Cambria Math" w:hAnsi="Cambria Math" w:cstheme="minorHAnsi"/>
                </w:rPr>
                <m:t>≥</m:t>
              </m:r>
            </m:oMath>
            <w:r w:rsidR="00ED0BB9" w:rsidRPr="00ED0BB9">
              <w:rPr>
                <w:rFonts w:eastAsiaTheme="minorEastAsia"/>
              </w:rPr>
              <w:t xml:space="preserve"> 292%</w:t>
            </w:r>
          </w:p>
        </w:tc>
        <w:tc>
          <w:tcPr>
            <w:tcW w:w="1429" w:type="pct"/>
            <w:vAlign w:val="center"/>
          </w:tcPr>
          <w:p w14:paraId="7EF50D3B" w14:textId="77777777" w:rsidR="00ED0BB9" w:rsidRPr="00ED0BB9" w:rsidRDefault="00E35D1D" w:rsidP="007E15EB">
            <w:pPr>
              <w:rPr>
                <w:rFonts w:eastAsiaTheme="minorEastAsia"/>
              </w:rPr>
            </w:pPr>
            <m:oMath>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r>
                <w:rPr>
                  <w:rFonts w:ascii="Cambria Math" w:hAnsi="Cambria Math" w:cstheme="minorHAnsi"/>
                </w:rPr>
                <m:t>≥</m:t>
              </m:r>
            </m:oMath>
            <w:r w:rsidR="00ED0BB9" w:rsidRPr="00ED0BB9">
              <w:rPr>
                <w:rFonts w:eastAsiaTheme="minorEastAsia"/>
              </w:rPr>
              <w:t xml:space="preserve"> 292%</w:t>
            </w:r>
          </w:p>
        </w:tc>
        <w:tc>
          <w:tcPr>
            <w:tcW w:w="1308" w:type="pct"/>
            <w:vAlign w:val="bottom"/>
          </w:tcPr>
          <w:p w14:paraId="1A099A61" w14:textId="77777777" w:rsidR="00ED0BB9" w:rsidRPr="00ED0BB9" w:rsidRDefault="00ED0BB9" w:rsidP="00ED0BB9">
            <w:pPr>
              <w:rPr>
                <w:rFonts w:cstheme="minorHAnsi"/>
              </w:rPr>
            </w:pPr>
            <w:r w:rsidRPr="00ED0BB9">
              <w:rPr>
                <w:rFonts w:eastAsia="Calibri" w:cstheme="minorHAnsi"/>
                <w:color w:val="000000"/>
              </w:rPr>
              <w:t>0,</w:t>
            </w:r>
            <w:r>
              <w:rPr>
                <w:rFonts w:eastAsia="Calibri" w:cstheme="minorHAnsi"/>
                <w:color w:val="000000"/>
              </w:rPr>
              <w:t>34</w:t>
            </w:r>
            <w:r w:rsidRPr="00ED0BB9">
              <w:rPr>
                <w:rFonts w:eastAsia="Calibri" w:cstheme="minorHAnsi"/>
                <w:color w:val="000000"/>
              </w:rPr>
              <w:t xml:space="preserve"> ≤</w:t>
            </w:r>
            <w:r>
              <w:rPr>
                <w:rFonts w:eastAsia="Calibri" w:cstheme="minorHAnsi"/>
                <w:color w:val="000000"/>
              </w:rPr>
              <w:t xml:space="preserve"> </w:t>
            </w:r>
            <m:oMath>
              <m:r>
                <w:rPr>
                  <w:rFonts w:ascii="Cambria Math" w:eastAsia="Calibri" w:hAnsi="Cambria Math" w:cstheme="minorHAnsi"/>
                  <w:color w:val="000000"/>
                </w:rPr>
                <m:t xml:space="preserve">1/ </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oMath>
            <w:r>
              <w:rPr>
                <w:rFonts w:eastAsia="Calibri" w:cstheme="minorHAnsi"/>
              </w:rPr>
              <w:t xml:space="preserve"> </w:t>
            </w:r>
          </w:p>
        </w:tc>
      </w:tr>
      <w:tr w:rsidR="00ED0BB9" w:rsidRPr="00C405F5" w14:paraId="3C2BD90A" w14:textId="77777777" w:rsidTr="00ED0BB9">
        <w:tc>
          <w:tcPr>
            <w:tcW w:w="832" w:type="pct"/>
            <w:vAlign w:val="center"/>
          </w:tcPr>
          <w:p w14:paraId="6F811982" w14:textId="77777777" w:rsidR="00ED0BB9" w:rsidRPr="00ED0BB9" w:rsidRDefault="00ED0BB9" w:rsidP="007E15EB">
            <w:r w:rsidRPr="00ED0BB9">
              <w:t>B</w:t>
            </w:r>
          </w:p>
        </w:tc>
        <w:tc>
          <w:tcPr>
            <w:tcW w:w="1431" w:type="pct"/>
            <w:vAlign w:val="center"/>
          </w:tcPr>
          <w:p w14:paraId="46BC8B09" w14:textId="77777777" w:rsidR="00ED0BB9" w:rsidRPr="00ED0BB9" w:rsidRDefault="00ED0BB9" w:rsidP="007E15EB">
            <w:r w:rsidRPr="00ED0BB9">
              <w:rPr>
                <w:rFonts w:eastAsiaTheme="minorEastAsia"/>
              </w:rPr>
              <w:t xml:space="preserve">292% </w:t>
            </w:r>
            <m:oMath>
              <m:r>
                <w:rPr>
                  <w:rFonts w:ascii="Cambria Math" w:eastAsiaTheme="minorEastAsia" w:hAnsi="Cambria Math"/>
                </w:rPr>
                <m:t>&gt;</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r>
                <w:rPr>
                  <w:rFonts w:ascii="Cambria Math" w:hAnsi="Cambria Math" w:cstheme="minorHAnsi"/>
                </w:rPr>
                <m:t>≥</m:t>
              </m:r>
            </m:oMath>
            <w:r w:rsidRPr="00ED0BB9">
              <w:rPr>
                <w:rFonts w:eastAsiaTheme="minorEastAsia"/>
              </w:rPr>
              <w:t xml:space="preserve"> 230%</w:t>
            </w:r>
          </w:p>
        </w:tc>
        <w:tc>
          <w:tcPr>
            <w:tcW w:w="1429" w:type="pct"/>
            <w:vAlign w:val="center"/>
          </w:tcPr>
          <w:p w14:paraId="4A2EA705" w14:textId="77777777" w:rsidR="00ED0BB9" w:rsidRPr="00ED0BB9" w:rsidRDefault="00ED0BB9" w:rsidP="007E15EB">
            <w:pPr>
              <w:rPr>
                <w:rFonts w:eastAsiaTheme="minorEastAsia"/>
              </w:rPr>
            </w:pPr>
            <w:r w:rsidRPr="00ED0BB9">
              <w:rPr>
                <w:rFonts w:eastAsiaTheme="minorEastAsia"/>
              </w:rPr>
              <w:t xml:space="preserve">292% </w:t>
            </w:r>
            <m:oMath>
              <m:r>
                <w:rPr>
                  <w:rFonts w:ascii="Cambria Math" w:eastAsiaTheme="minorEastAsia" w:hAnsi="Cambria Math"/>
                </w:rPr>
                <m:t>&gt;</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r>
                <w:rPr>
                  <w:rFonts w:ascii="Cambria Math" w:hAnsi="Cambria Math" w:cstheme="minorHAnsi"/>
                </w:rPr>
                <m:t>≥</m:t>
              </m:r>
            </m:oMath>
            <w:r w:rsidRPr="00ED0BB9">
              <w:rPr>
                <w:rFonts w:eastAsiaTheme="minorEastAsia"/>
              </w:rPr>
              <w:t xml:space="preserve"> 230%</w:t>
            </w:r>
          </w:p>
        </w:tc>
        <w:tc>
          <w:tcPr>
            <w:tcW w:w="1308" w:type="pct"/>
            <w:vAlign w:val="bottom"/>
          </w:tcPr>
          <w:p w14:paraId="7ACA40FB" w14:textId="77777777" w:rsidR="00ED0BB9" w:rsidRPr="00ED0BB9" w:rsidRDefault="00ED0BB9" w:rsidP="00ED0BB9">
            <w:pPr>
              <w:rPr>
                <w:rFonts w:eastAsiaTheme="minorEastAsia" w:cstheme="minorHAnsi"/>
              </w:rPr>
            </w:pPr>
            <w:r>
              <w:rPr>
                <w:rFonts w:eastAsia="Calibri" w:cstheme="minorHAnsi"/>
                <w:color w:val="000000"/>
              </w:rPr>
              <w:t xml:space="preserve">0,43 ≤ </w:t>
            </w:r>
            <m:oMath>
              <m:r>
                <w:rPr>
                  <w:rFonts w:ascii="Cambria Math" w:eastAsia="Calibri" w:hAnsi="Cambria Math" w:cstheme="minorHAnsi"/>
                  <w:color w:val="000000"/>
                </w:rPr>
                <m:t xml:space="preserve">1/ </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oMath>
            <w:r>
              <w:rPr>
                <w:rFonts w:eastAsia="Calibri" w:cstheme="minorHAnsi"/>
              </w:rPr>
              <w:t xml:space="preserve"> &lt; 0,34</w:t>
            </w:r>
          </w:p>
        </w:tc>
      </w:tr>
      <w:tr w:rsidR="00ED0BB9" w:rsidRPr="00C405F5" w14:paraId="044C4C75" w14:textId="77777777" w:rsidTr="00ED0BB9">
        <w:tc>
          <w:tcPr>
            <w:tcW w:w="832" w:type="pct"/>
            <w:vAlign w:val="center"/>
          </w:tcPr>
          <w:p w14:paraId="79323836" w14:textId="77777777" w:rsidR="00ED0BB9" w:rsidRPr="00ED0BB9" w:rsidRDefault="00ED0BB9" w:rsidP="007E15EB">
            <w:r w:rsidRPr="00ED0BB9">
              <w:t>C</w:t>
            </w:r>
          </w:p>
        </w:tc>
        <w:tc>
          <w:tcPr>
            <w:tcW w:w="1431" w:type="pct"/>
            <w:vAlign w:val="center"/>
          </w:tcPr>
          <w:p w14:paraId="16A358D2" w14:textId="77777777" w:rsidR="00ED0BB9" w:rsidRPr="00ED0BB9" w:rsidRDefault="00ED0BB9" w:rsidP="007E15EB">
            <w:r w:rsidRPr="00ED0BB9">
              <w:rPr>
                <w:rFonts w:eastAsiaTheme="minorEastAsia"/>
              </w:rPr>
              <w:t xml:space="preserve">230% </w:t>
            </w:r>
            <m:oMath>
              <m:r>
                <w:rPr>
                  <w:rFonts w:ascii="Cambria Math" w:eastAsiaTheme="minorEastAsia" w:hAnsi="Cambria Math"/>
                </w:rPr>
                <m:t>&gt;</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r>
                <w:rPr>
                  <w:rFonts w:ascii="Cambria Math" w:hAnsi="Cambria Math" w:cstheme="minorHAnsi"/>
                </w:rPr>
                <m:t>≥</m:t>
              </m:r>
            </m:oMath>
            <w:r w:rsidRPr="00ED0BB9">
              <w:rPr>
                <w:rFonts w:eastAsiaTheme="minorEastAsia"/>
              </w:rPr>
              <w:t xml:space="preserve"> 136%</w:t>
            </w:r>
          </w:p>
        </w:tc>
        <w:tc>
          <w:tcPr>
            <w:tcW w:w="1429" w:type="pct"/>
            <w:vAlign w:val="center"/>
          </w:tcPr>
          <w:p w14:paraId="139324AB" w14:textId="77777777" w:rsidR="00ED0BB9" w:rsidRPr="00ED0BB9" w:rsidRDefault="00ED0BB9" w:rsidP="007E15EB">
            <w:pPr>
              <w:rPr>
                <w:rFonts w:eastAsiaTheme="minorEastAsia"/>
              </w:rPr>
            </w:pPr>
            <w:r w:rsidRPr="00ED0BB9">
              <w:rPr>
                <w:rFonts w:eastAsiaTheme="minorEastAsia"/>
              </w:rPr>
              <w:t xml:space="preserve">230% </w:t>
            </w:r>
            <m:oMath>
              <m:r>
                <w:rPr>
                  <w:rFonts w:ascii="Cambria Math" w:eastAsiaTheme="minorEastAsia" w:hAnsi="Cambria Math"/>
                </w:rPr>
                <m:t>&gt;</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r>
                <w:rPr>
                  <w:rFonts w:ascii="Cambria Math" w:hAnsi="Cambria Math" w:cstheme="minorHAnsi"/>
                </w:rPr>
                <m:t>≥</m:t>
              </m:r>
            </m:oMath>
            <w:r w:rsidRPr="00ED0BB9">
              <w:rPr>
                <w:rFonts w:eastAsiaTheme="minorEastAsia"/>
              </w:rPr>
              <w:t xml:space="preserve"> 136%</w:t>
            </w:r>
          </w:p>
        </w:tc>
        <w:tc>
          <w:tcPr>
            <w:tcW w:w="1308" w:type="pct"/>
            <w:vAlign w:val="bottom"/>
          </w:tcPr>
          <w:p w14:paraId="0EF26654" w14:textId="77777777" w:rsidR="00ED0BB9" w:rsidRPr="00ED0BB9" w:rsidRDefault="00ED0BB9" w:rsidP="00ED0BB9">
            <w:pPr>
              <w:rPr>
                <w:rFonts w:eastAsiaTheme="minorEastAsia" w:cstheme="minorHAnsi"/>
              </w:rPr>
            </w:pPr>
            <w:r w:rsidRPr="00ED0BB9">
              <w:rPr>
                <w:rFonts w:eastAsia="Calibri" w:cstheme="minorHAnsi"/>
              </w:rPr>
              <w:t xml:space="preserve">0,74 ≤ </w:t>
            </w:r>
            <m:oMath>
              <m:r>
                <w:rPr>
                  <w:rFonts w:ascii="Cambria Math" w:eastAsia="Calibri" w:hAnsi="Cambria Math" w:cstheme="minorHAnsi"/>
                </w:rPr>
                <m:t xml:space="preserve">1/ </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oMath>
            <w:r w:rsidRPr="00ED0BB9">
              <w:rPr>
                <w:rFonts w:eastAsia="Calibri" w:cstheme="minorHAnsi"/>
              </w:rPr>
              <w:t xml:space="preserve"> &lt; 0,43</w:t>
            </w:r>
          </w:p>
        </w:tc>
      </w:tr>
      <w:tr w:rsidR="00ED0BB9" w:rsidRPr="00C405F5" w14:paraId="160E1D75" w14:textId="77777777" w:rsidTr="00ED0BB9">
        <w:tc>
          <w:tcPr>
            <w:tcW w:w="832" w:type="pct"/>
            <w:vAlign w:val="center"/>
          </w:tcPr>
          <w:p w14:paraId="7E1DD0DC" w14:textId="77777777" w:rsidR="00ED0BB9" w:rsidRPr="00ED0BB9" w:rsidRDefault="00ED0BB9" w:rsidP="007E15EB">
            <w:r w:rsidRPr="00ED0BB9">
              <w:t>D</w:t>
            </w:r>
          </w:p>
        </w:tc>
        <w:tc>
          <w:tcPr>
            <w:tcW w:w="1431" w:type="pct"/>
            <w:vAlign w:val="center"/>
          </w:tcPr>
          <w:p w14:paraId="58E27624" w14:textId="77777777" w:rsidR="00ED0BB9" w:rsidRPr="00ED0BB9" w:rsidRDefault="00ED0BB9" w:rsidP="007E15EB">
            <w:r w:rsidRPr="00ED0BB9">
              <w:rPr>
                <w:rFonts w:eastAsiaTheme="minorEastAsia"/>
              </w:rPr>
              <w:t xml:space="preserve">136% </w:t>
            </w:r>
            <m:oMath>
              <m:r>
                <w:rPr>
                  <w:rFonts w:ascii="Cambria Math" w:eastAsiaTheme="minorEastAsia" w:hAnsi="Cambria Math"/>
                </w:rPr>
                <m:t>&gt;</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r>
                <w:rPr>
                  <w:rFonts w:ascii="Cambria Math" w:hAnsi="Cambria Math" w:cstheme="minorHAnsi"/>
                </w:rPr>
                <m:t>≥</m:t>
              </m:r>
            </m:oMath>
            <w:r w:rsidRPr="00ED0BB9">
              <w:rPr>
                <w:rFonts w:eastAsiaTheme="minorEastAsia"/>
              </w:rPr>
              <w:t xml:space="preserve"> 110%</w:t>
            </w:r>
          </w:p>
        </w:tc>
        <w:tc>
          <w:tcPr>
            <w:tcW w:w="1429" w:type="pct"/>
            <w:vAlign w:val="center"/>
          </w:tcPr>
          <w:p w14:paraId="02DB246A" w14:textId="77777777" w:rsidR="00ED0BB9" w:rsidRPr="00ED0BB9" w:rsidRDefault="00ED0BB9" w:rsidP="007E15EB">
            <w:pPr>
              <w:rPr>
                <w:rFonts w:eastAsiaTheme="minorEastAsia"/>
              </w:rPr>
            </w:pPr>
            <w:r w:rsidRPr="00ED0BB9">
              <w:rPr>
                <w:rFonts w:eastAsiaTheme="minorEastAsia"/>
              </w:rPr>
              <w:t xml:space="preserve">136% </w:t>
            </w:r>
            <m:oMath>
              <m:r>
                <w:rPr>
                  <w:rFonts w:ascii="Cambria Math" w:eastAsiaTheme="minorEastAsia" w:hAnsi="Cambria Math"/>
                </w:rPr>
                <m:t>&gt;</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r>
                <w:rPr>
                  <w:rFonts w:ascii="Cambria Math" w:hAnsi="Cambria Math" w:cstheme="minorHAnsi"/>
                </w:rPr>
                <m:t>≥</m:t>
              </m:r>
            </m:oMath>
            <w:r w:rsidRPr="00ED0BB9">
              <w:rPr>
                <w:rFonts w:eastAsiaTheme="minorEastAsia"/>
              </w:rPr>
              <w:t xml:space="preserve"> 88%</w:t>
            </w:r>
          </w:p>
        </w:tc>
        <w:tc>
          <w:tcPr>
            <w:tcW w:w="1308" w:type="pct"/>
            <w:vAlign w:val="bottom"/>
          </w:tcPr>
          <w:p w14:paraId="2C10A81D" w14:textId="77777777" w:rsidR="00ED0BB9" w:rsidRPr="00ED0BB9" w:rsidRDefault="00ED0BB9" w:rsidP="00ED0BB9">
            <w:pPr>
              <w:rPr>
                <w:rFonts w:eastAsiaTheme="minorEastAsia" w:cstheme="minorHAnsi"/>
              </w:rPr>
            </w:pPr>
            <w:r w:rsidRPr="00ED0BB9">
              <w:rPr>
                <w:rFonts w:eastAsia="Calibri" w:cstheme="minorHAnsi"/>
              </w:rPr>
              <w:t xml:space="preserve">1,14 ≤ </w:t>
            </w:r>
            <m:oMath>
              <m:r>
                <w:rPr>
                  <w:rFonts w:ascii="Cambria Math" w:eastAsia="Calibri" w:hAnsi="Cambria Math" w:cstheme="minorHAnsi"/>
                </w:rPr>
                <m:t xml:space="preserve">1/ </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oMath>
            <w:r w:rsidRPr="00ED0BB9">
              <w:rPr>
                <w:rFonts w:eastAsia="Calibri" w:cstheme="minorHAnsi"/>
              </w:rPr>
              <w:t xml:space="preserve"> &lt; 0,74</w:t>
            </w:r>
          </w:p>
        </w:tc>
      </w:tr>
      <w:tr w:rsidR="00ED0BB9" w:rsidRPr="00C405F5" w14:paraId="1157E447" w14:textId="77777777" w:rsidTr="00ED0BB9">
        <w:tc>
          <w:tcPr>
            <w:tcW w:w="832" w:type="pct"/>
            <w:vAlign w:val="center"/>
          </w:tcPr>
          <w:p w14:paraId="368CCF78" w14:textId="77777777" w:rsidR="00ED0BB9" w:rsidRPr="00ED0BB9" w:rsidRDefault="00ED0BB9" w:rsidP="007E15EB">
            <w:r w:rsidRPr="00ED0BB9">
              <w:t>E</w:t>
            </w:r>
          </w:p>
        </w:tc>
        <w:tc>
          <w:tcPr>
            <w:tcW w:w="1431" w:type="pct"/>
            <w:vAlign w:val="center"/>
          </w:tcPr>
          <w:p w14:paraId="530010C0" w14:textId="77777777" w:rsidR="00ED0BB9" w:rsidRPr="00ED0BB9" w:rsidRDefault="00ED0BB9" w:rsidP="007E15EB">
            <w:r w:rsidRPr="00ED0BB9">
              <w:rPr>
                <w:rFonts w:eastAsiaTheme="minorEastAsia"/>
              </w:rPr>
              <w:t xml:space="preserve">110% </w:t>
            </w:r>
            <m:oMath>
              <m:r>
                <w:rPr>
                  <w:rFonts w:ascii="Cambria Math" w:eastAsiaTheme="minorEastAsia" w:hAnsi="Cambria Math"/>
                </w:rPr>
                <m:t>&gt;</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r>
                <w:rPr>
                  <w:rFonts w:ascii="Cambria Math" w:hAnsi="Cambria Math" w:cstheme="minorHAnsi"/>
                </w:rPr>
                <m:t>≥</m:t>
              </m:r>
            </m:oMath>
            <w:r w:rsidRPr="00ED0BB9">
              <w:rPr>
                <w:rFonts w:eastAsiaTheme="minorEastAsia"/>
              </w:rPr>
              <w:t xml:space="preserve"> 88%</w:t>
            </w:r>
          </w:p>
        </w:tc>
        <w:tc>
          <w:tcPr>
            <w:tcW w:w="1429" w:type="pct"/>
            <w:vAlign w:val="center"/>
          </w:tcPr>
          <w:p w14:paraId="448F6DA4" w14:textId="77777777" w:rsidR="00ED0BB9" w:rsidRPr="00ED0BB9" w:rsidRDefault="00ED0BB9" w:rsidP="007E15EB">
            <w:pPr>
              <w:rPr>
                <w:rFonts w:eastAsiaTheme="minorEastAsia"/>
              </w:rPr>
            </w:pPr>
            <w:r w:rsidRPr="00ED0BB9">
              <w:rPr>
                <w:rFonts w:eastAsiaTheme="minorEastAsia"/>
              </w:rPr>
              <w:t xml:space="preserve">88% </w:t>
            </w:r>
            <m:oMath>
              <m:r>
                <w:rPr>
                  <w:rFonts w:ascii="Cambria Math" w:eastAsiaTheme="minorEastAsia" w:hAnsi="Cambria Math"/>
                </w:rPr>
                <m:t>&gt;</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r>
                <w:rPr>
                  <w:rFonts w:ascii="Cambria Math" w:hAnsi="Cambria Math" w:cstheme="minorHAnsi"/>
                </w:rPr>
                <m:t>≥</m:t>
              </m:r>
            </m:oMath>
            <w:r w:rsidRPr="00ED0BB9">
              <w:rPr>
                <w:rFonts w:eastAsiaTheme="minorEastAsia"/>
              </w:rPr>
              <w:t xml:space="preserve"> 65%</w:t>
            </w:r>
          </w:p>
        </w:tc>
        <w:tc>
          <w:tcPr>
            <w:tcW w:w="1308" w:type="pct"/>
            <w:vAlign w:val="bottom"/>
          </w:tcPr>
          <w:p w14:paraId="4D6E08E4" w14:textId="77777777" w:rsidR="00ED0BB9" w:rsidRPr="00ED0BB9" w:rsidRDefault="00ED0BB9" w:rsidP="00ED0BB9">
            <w:pPr>
              <w:rPr>
                <w:rFonts w:eastAsiaTheme="minorEastAsia" w:cstheme="minorHAnsi"/>
              </w:rPr>
            </w:pPr>
            <w:r w:rsidRPr="00ED0BB9">
              <w:rPr>
                <w:rFonts w:eastAsia="Calibri" w:cstheme="minorHAnsi"/>
              </w:rPr>
              <w:t xml:space="preserve">1,54 ≤ </w:t>
            </w:r>
            <m:oMath>
              <m:r>
                <w:rPr>
                  <w:rFonts w:ascii="Cambria Math" w:eastAsia="Calibri" w:hAnsi="Cambria Math" w:cstheme="minorHAnsi"/>
                </w:rPr>
                <m:t xml:space="preserve">1/ </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oMath>
            <w:r w:rsidRPr="00ED0BB9">
              <w:rPr>
                <w:rFonts w:eastAsia="Calibri" w:cstheme="minorHAnsi"/>
              </w:rPr>
              <w:t xml:space="preserve"> &lt; 1,14</w:t>
            </w:r>
          </w:p>
        </w:tc>
      </w:tr>
      <w:tr w:rsidR="00ED0BB9" w:rsidRPr="00C405F5" w14:paraId="0652C7B0" w14:textId="77777777" w:rsidTr="00ED0BB9">
        <w:trPr>
          <w:trHeight w:val="70"/>
        </w:trPr>
        <w:tc>
          <w:tcPr>
            <w:tcW w:w="832" w:type="pct"/>
            <w:vAlign w:val="center"/>
          </w:tcPr>
          <w:p w14:paraId="73DD3C46" w14:textId="77777777" w:rsidR="00ED0BB9" w:rsidRPr="00ED0BB9" w:rsidRDefault="00ED0BB9" w:rsidP="007E15EB">
            <w:r w:rsidRPr="00ED0BB9">
              <w:t>F</w:t>
            </w:r>
          </w:p>
        </w:tc>
        <w:tc>
          <w:tcPr>
            <w:tcW w:w="1431" w:type="pct"/>
            <w:vAlign w:val="center"/>
          </w:tcPr>
          <w:p w14:paraId="095E4A63" w14:textId="77777777" w:rsidR="00ED0BB9" w:rsidRPr="00ED0BB9" w:rsidRDefault="00ED0BB9" w:rsidP="007E15EB">
            <w:pPr>
              <w:rPr>
                <w:rFonts w:eastAsiaTheme="minorEastAsia"/>
              </w:rPr>
            </w:pPr>
            <w:r w:rsidRPr="00ED0BB9">
              <w:rPr>
                <w:rFonts w:eastAsiaTheme="minorEastAsia"/>
              </w:rPr>
              <w:t xml:space="preserve">90% </w:t>
            </w:r>
            <m:oMath>
              <m:r>
                <w:rPr>
                  <w:rFonts w:ascii="Cambria Math" w:eastAsiaTheme="minorEastAsia" w:hAnsi="Cambria Math"/>
                </w:rPr>
                <m:t>&gt;</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r>
                <w:rPr>
                  <w:rFonts w:ascii="Cambria Math" w:hAnsi="Cambria Math" w:cstheme="minorHAnsi"/>
                </w:rPr>
                <m:t>≥</m:t>
              </m:r>
            </m:oMath>
            <w:r w:rsidRPr="00ED0BB9">
              <w:rPr>
                <w:rFonts w:eastAsiaTheme="minorEastAsia"/>
              </w:rPr>
              <w:t xml:space="preserve"> 65%</w:t>
            </w:r>
          </w:p>
        </w:tc>
        <w:tc>
          <w:tcPr>
            <w:tcW w:w="1429" w:type="pct"/>
            <w:vAlign w:val="center"/>
          </w:tcPr>
          <w:p w14:paraId="01585C4F" w14:textId="77777777" w:rsidR="00ED0BB9" w:rsidRPr="00ED0BB9" w:rsidRDefault="00ED0BB9" w:rsidP="007E15EB">
            <w:pPr>
              <w:rPr>
                <w:rFonts w:eastAsiaTheme="minorEastAsia"/>
              </w:rPr>
            </w:pPr>
            <w:r w:rsidRPr="00ED0BB9">
              <w:rPr>
                <w:rFonts w:eastAsiaTheme="minorEastAsia"/>
              </w:rPr>
              <w:t xml:space="preserve">65% </w:t>
            </w:r>
            <m:oMath>
              <m:r>
                <w:rPr>
                  <w:rFonts w:ascii="Cambria Math" w:eastAsiaTheme="minorEastAsia" w:hAnsi="Cambria Math"/>
                </w:rPr>
                <m:t>&gt;</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r>
                <w:rPr>
                  <w:rFonts w:ascii="Cambria Math" w:hAnsi="Cambria Math" w:cstheme="minorHAnsi"/>
                </w:rPr>
                <m:t>≥</m:t>
              </m:r>
            </m:oMath>
            <w:r w:rsidRPr="00ED0BB9">
              <w:rPr>
                <w:rFonts w:eastAsiaTheme="minorEastAsia"/>
              </w:rPr>
              <w:t xml:space="preserve"> 46%</w:t>
            </w:r>
          </w:p>
        </w:tc>
        <w:tc>
          <w:tcPr>
            <w:tcW w:w="1308" w:type="pct"/>
            <w:vAlign w:val="bottom"/>
          </w:tcPr>
          <w:p w14:paraId="35D9F9D9" w14:textId="77777777" w:rsidR="00ED0BB9" w:rsidRPr="00ED0BB9" w:rsidRDefault="00ED0BB9" w:rsidP="00ED0BB9">
            <w:pPr>
              <w:rPr>
                <w:rFonts w:eastAsiaTheme="minorEastAsia" w:cstheme="minorHAnsi"/>
              </w:rPr>
            </w:pPr>
            <w:r w:rsidRPr="00ED0BB9">
              <w:rPr>
                <w:rFonts w:eastAsia="Calibri" w:cstheme="minorHAnsi"/>
              </w:rPr>
              <w:t xml:space="preserve">2,17 ≤ </w:t>
            </w:r>
            <m:oMath>
              <m:r>
                <w:rPr>
                  <w:rFonts w:ascii="Cambria Math" w:eastAsia="Calibri" w:hAnsi="Cambria Math" w:cstheme="minorHAnsi"/>
                </w:rPr>
                <m:t xml:space="preserve">1/ </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oMath>
            <w:r w:rsidRPr="00ED0BB9">
              <w:rPr>
                <w:rFonts w:eastAsia="Calibri" w:cstheme="minorHAnsi"/>
              </w:rPr>
              <w:t xml:space="preserve"> &lt; 1,54</w:t>
            </w:r>
          </w:p>
        </w:tc>
      </w:tr>
      <w:tr w:rsidR="00ED0BB9" w:rsidRPr="00C405F5" w14:paraId="4C9B21AA" w14:textId="77777777" w:rsidTr="00ED0BB9">
        <w:trPr>
          <w:trHeight w:val="70"/>
        </w:trPr>
        <w:tc>
          <w:tcPr>
            <w:tcW w:w="832" w:type="pct"/>
            <w:vAlign w:val="center"/>
          </w:tcPr>
          <w:p w14:paraId="30C35F50" w14:textId="77777777" w:rsidR="00ED0BB9" w:rsidRPr="00ED0BB9" w:rsidRDefault="00ED0BB9" w:rsidP="007E15EB">
            <w:r w:rsidRPr="00ED0BB9">
              <w:t>G</w:t>
            </w:r>
          </w:p>
        </w:tc>
        <w:tc>
          <w:tcPr>
            <w:tcW w:w="1431" w:type="pct"/>
            <w:vAlign w:val="center"/>
          </w:tcPr>
          <w:p w14:paraId="522C58A1" w14:textId="77777777" w:rsidR="00ED0BB9" w:rsidRPr="00ED0BB9" w:rsidRDefault="00ED0BB9" w:rsidP="007E15EB">
            <w:r w:rsidRPr="00ED0BB9">
              <w:rPr>
                <w:rFonts w:eastAsiaTheme="minorEastAsia"/>
              </w:rPr>
              <w:t xml:space="preserve">65% </w:t>
            </w:r>
            <m:oMath>
              <m:r>
                <w:rPr>
                  <w:rFonts w:ascii="Cambria Math" w:eastAsiaTheme="minorEastAsia" w:hAnsi="Cambria Math"/>
                </w:rPr>
                <m:t>&gt;</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oMath>
          </w:p>
        </w:tc>
        <w:tc>
          <w:tcPr>
            <w:tcW w:w="1429" w:type="pct"/>
            <w:vAlign w:val="center"/>
          </w:tcPr>
          <w:p w14:paraId="0A50E6CB" w14:textId="77777777" w:rsidR="00ED0BB9" w:rsidRPr="00ED0BB9" w:rsidRDefault="00ED0BB9" w:rsidP="00ED0BB9">
            <w:pPr>
              <w:rPr>
                <w:rFonts w:eastAsiaTheme="minorEastAsia"/>
              </w:rPr>
            </w:pPr>
            <w:r w:rsidRPr="00ED0BB9">
              <w:rPr>
                <w:rFonts w:eastAsiaTheme="minorEastAsia"/>
              </w:rPr>
              <w:t xml:space="preserve">46% </w:t>
            </w:r>
            <m:oMath>
              <m:r>
                <w:rPr>
                  <w:rFonts w:ascii="Cambria Math" w:eastAsiaTheme="minorEastAsia" w:hAnsi="Cambria Math"/>
                </w:rPr>
                <m:t>&gt;</m:t>
              </m:r>
              <m:sSub>
                <m:sSubPr>
                  <m:ctrlPr>
                    <w:rPr>
                      <w:rFonts w:ascii="Cambria Math" w:hAnsi="Cambria Math" w:cstheme="minorHAnsi"/>
                      <w:i/>
                    </w:rPr>
                  </m:ctrlPr>
                </m:sSubPr>
                <m:e>
                  <m:r>
                    <w:rPr>
                      <w:rFonts w:ascii="Cambria Math" w:hAnsi="Cambria Math" w:cstheme="minorHAnsi"/>
                    </w:rPr>
                    <m:t>η</m:t>
                  </m:r>
                </m:e>
                <m:sub>
                  <m:r>
                    <w:rPr>
                      <w:rFonts w:ascii="Cambria Math" w:hAnsi="Cambria Math" w:cstheme="minorHAnsi"/>
                    </w:rPr>
                    <m:t>s,h</m:t>
                  </m:r>
                </m:sub>
              </m:sSub>
            </m:oMath>
          </w:p>
        </w:tc>
        <w:tc>
          <w:tcPr>
            <w:tcW w:w="1308" w:type="pct"/>
            <w:vAlign w:val="bottom"/>
          </w:tcPr>
          <w:p w14:paraId="5CB2A61A" w14:textId="77777777" w:rsidR="00ED0BB9" w:rsidRPr="00ED0BB9" w:rsidRDefault="00ED0BB9" w:rsidP="00ED0BB9">
            <w:pPr>
              <w:rPr>
                <w:rFonts w:eastAsiaTheme="minorEastAsia" w:cstheme="minorHAnsi"/>
              </w:rPr>
            </w:pPr>
            <w:r w:rsidRPr="00ED0BB9">
              <w:rPr>
                <w:rFonts w:eastAsia="Times New Roman" w:cstheme="minorHAnsi"/>
                <w:lang w:eastAsia="de-DE"/>
              </w:rPr>
              <w:t>2,17</w:t>
            </w:r>
          </w:p>
        </w:tc>
      </w:tr>
      <w:tr w:rsidR="00ED0BB9" w:rsidRPr="00C405F5" w14:paraId="6C4E887A" w14:textId="77777777" w:rsidTr="00ED0BB9">
        <w:trPr>
          <w:trHeight w:val="70"/>
        </w:trPr>
        <w:tc>
          <w:tcPr>
            <w:tcW w:w="832" w:type="pct"/>
            <w:vAlign w:val="center"/>
          </w:tcPr>
          <w:p w14:paraId="76675803" w14:textId="77777777" w:rsidR="00ED0BB9" w:rsidRPr="00ED0BB9" w:rsidRDefault="00ED0BB9" w:rsidP="007E15EB">
            <w:r>
              <w:t xml:space="preserve">Comments </w:t>
            </w:r>
          </w:p>
        </w:tc>
        <w:tc>
          <w:tcPr>
            <w:tcW w:w="1431" w:type="pct"/>
            <w:vAlign w:val="center"/>
          </w:tcPr>
          <w:p w14:paraId="75A86273" w14:textId="77777777" w:rsidR="00ED0BB9" w:rsidRDefault="00ED0BB9" w:rsidP="007E15EB">
            <w:pPr>
              <w:rPr>
                <w:rFonts w:eastAsiaTheme="minorEastAsia"/>
              </w:rPr>
            </w:pPr>
            <w:r w:rsidRPr="00ED0BB9">
              <w:rPr>
                <w:rFonts w:eastAsiaTheme="minorEastAsia"/>
              </w:rPr>
              <w:t>110% differentiates between solid fuel local space heaters</w:t>
            </w:r>
          </w:p>
          <w:p w14:paraId="57D5BD41" w14:textId="77777777" w:rsidR="00ED0BB9" w:rsidRPr="00ED0BB9" w:rsidRDefault="00ED0BB9" w:rsidP="007E15EB">
            <w:pPr>
              <w:rPr>
                <w:rFonts w:eastAsiaTheme="minorEastAsia"/>
              </w:rPr>
            </w:pPr>
            <w:r w:rsidRPr="00ED0BB9">
              <w:rPr>
                <w:rFonts w:eastAsiaTheme="minorEastAsia"/>
              </w:rPr>
              <w:t>88% is the BAT for a gas and oil fuel local space heaters and tube local space heaters, this would give incentive for those appliances to move beyond the BAT</w:t>
            </w:r>
          </w:p>
        </w:tc>
        <w:tc>
          <w:tcPr>
            <w:tcW w:w="1429" w:type="pct"/>
            <w:vAlign w:val="center"/>
          </w:tcPr>
          <w:p w14:paraId="3DCA3A9C" w14:textId="77777777" w:rsidR="00ED0BB9" w:rsidRPr="00ED0BB9" w:rsidRDefault="00ED0BB9" w:rsidP="007E15EB">
            <w:pPr>
              <w:rPr>
                <w:rFonts w:eastAsiaTheme="minorEastAsia"/>
              </w:rPr>
            </w:pPr>
            <w:r w:rsidRPr="00ED0BB9">
              <w:rPr>
                <w:rFonts w:eastAsiaTheme="minorEastAsia"/>
              </w:rPr>
              <w:t>46% is BAT electrical heater</w:t>
            </w:r>
          </w:p>
        </w:tc>
        <w:tc>
          <w:tcPr>
            <w:tcW w:w="1308" w:type="pct"/>
            <w:vAlign w:val="bottom"/>
          </w:tcPr>
          <w:p w14:paraId="12373DE7" w14:textId="77777777" w:rsidR="00ED0BB9" w:rsidRPr="00ED0BB9" w:rsidRDefault="00ED0BB9" w:rsidP="00ED0BB9">
            <w:pPr>
              <w:rPr>
                <w:rFonts w:eastAsia="Times New Roman" w:cstheme="minorHAnsi"/>
                <w:lang w:eastAsia="de-DE"/>
              </w:rPr>
            </w:pPr>
          </w:p>
        </w:tc>
      </w:tr>
    </w:tbl>
    <w:p w14:paraId="1BD6AE0D" w14:textId="77777777" w:rsidR="00780458" w:rsidRDefault="00780458" w:rsidP="00BB7562"/>
    <w:p w14:paraId="15DFFAC6" w14:textId="77777777" w:rsidR="00780458" w:rsidRDefault="00780458" w:rsidP="00BB7562"/>
    <w:p w14:paraId="4CA42D6F" w14:textId="77777777" w:rsidR="007E15EB" w:rsidRDefault="007E15EB" w:rsidP="00BB7562"/>
    <w:sectPr w:rsidR="007E15EB" w:rsidSect="00563A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12811" w14:textId="77777777" w:rsidR="00E35D1D" w:rsidRDefault="00E35D1D" w:rsidP="00EF528F">
      <w:pPr>
        <w:spacing w:after="0" w:line="240" w:lineRule="auto"/>
      </w:pPr>
      <w:r>
        <w:separator/>
      </w:r>
    </w:p>
  </w:endnote>
  <w:endnote w:type="continuationSeparator" w:id="0">
    <w:p w14:paraId="5F67AF4B" w14:textId="77777777" w:rsidR="00E35D1D" w:rsidRDefault="00E35D1D" w:rsidP="00EF5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4F3BB7" w14:textId="77777777" w:rsidR="00E35D1D" w:rsidRDefault="00E35D1D" w:rsidP="00EF528F">
      <w:pPr>
        <w:spacing w:after="0" w:line="240" w:lineRule="auto"/>
      </w:pPr>
      <w:r>
        <w:separator/>
      </w:r>
    </w:p>
  </w:footnote>
  <w:footnote w:type="continuationSeparator" w:id="0">
    <w:p w14:paraId="29C2E6DD" w14:textId="77777777" w:rsidR="00E35D1D" w:rsidRDefault="00E35D1D" w:rsidP="00EF528F">
      <w:pPr>
        <w:spacing w:after="0" w:line="240" w:lineRule="auto"/>
      </w:pPr>
      <w:r>
        <w:continuationSeparator/>
      </w:r>
    </w:p>
  </w:footnote>
  <w:footnote w:id="1">
    <w:p w14:paraId="103B1992" w14:textId="77777777" w:rsidR="00D057DD" w:rsidRPr="00C8677A" w:rsidRDefault="00D057DD" w:rsidP="00D057DD">
      <w:pPr>
        <w:pStyle w:val="NormalWeb"/>
        <w:spacing w:after="75"/>
        <w:rPr>
          <w:rFonts w:asciiTheme="minorHAnsi" w:hAnsiTheme="minorHAnsi" w:cstheme="minorHAnsi"/>
          <w:sz w:val="20"/>
          <w:szCs w:val="20"/>
        </w:rPr>
      </w:pPr>
      <w:r w:rsidRPr="00C8677A">
        <w:rPr>
          <w:rStyle w:val="FootnoteReference"/>
          <w:rFonts w:asciiTheme="minorHAnsi" w:hAnsiTheme="minorHAnsi" w:cstheme="minorHAnsi"/>
          <w:sz w:val="20"/>
          <w:szCs w:val="20"/>
        </w:rPr>
        <w:footnoteRef/>
      </w:r>
      <w:r w:rsidRPr="00C8677A">
        <w:rPr>
          <w:rFonts w:asciiTheme="minorHAnsi" w:hAnsiTheme="minorHAnsi" w:cstheme="minorHAnsi"/>
          <w:sz w:val="20"/>
          <w:szCs w:val="20"/>
        </w:rPr>
        <w:t xml:space="preserve"> Commission Regulation (EU) No 206/2012 of 6 March 2012 implementing Directive 2009/125/EC of the European Parliament and of the Council with regard to ecodesign requirements for air conditioners and comfort fans (</w:t>
      </w:r>
      <w:r w:rsidRPr="00C8677A">
        <w:rPr>
          <w:rFonts w:asciiTheme="minorHAnsi" w:hAnsiTheme="minorHAnsi" w:cstheme="minorHAnsi"/>
          <w:i/>
          <w:iCs/>
          <w:sz w:val="20"/>
          <w:szCs w:val="20"/>
        </w:rPr>
        <w:t>OJ L 72, 10.3.2012, p. 7).</w:t>
      </w:r>
    </w:p>
  </w:footnote>
  <w:footnote w:id="2">
    <w:p w14:paraId="4650B7E7" w14:textId="77777777" w:rsidR="00D057DD" w:rsidRPr="00C8677A" w:rsidRDefault="00D057DD" w:rsidP="00D057DD">
      <w:pPr>
        <w:pStyle w:val="NormalWeb"/>
        <w:spacing w:after="75"/>
        <w:rPr>
          <w:rFonts w:asciiTheme="minorHAnsi" w:hAnsiTheme="minorHAnsi" w:cstheme="minorHAnsi"/>
          <w:sz w:val="20"/>
          <w:szCs w:val="20"/>
        </w:rPr>
      </w:pPr>
      <w:r w:rsidRPr="00C8677A">
        <w:rPr>
          <w:rStyle w:val="FootnoteReference"/>
          <w:rFonts w:asciiTheme="minorHAnsi" w:hAnsiTheme="minorHAnsi" w:cstheme="minorHAnsi"/>
          <w:sz w:val="20"/>
          <w:szCs w:val="20"/>
        </w:rPr>
        <w:footnoteRef/>
      </w:r>
      <w:r w:rsidRPr="00C8677A">
        <w:rPr>
          <w:rFonts w:asciiTheme="minorHAnsi" w:hAnsiTheme="minorHAnsi" w:cstheme="minorHAnsi"/>
          <w:sz w:val="20"/>
          <w:szCs w:val="20"/>
        </w:rPr>
        <w:t xml:space="preserve"> Commission Delegated Regulation (EU) No 626/2011 of 4 May 2011 supplementing Directive 2010/30/EU of the European Parliament and of the Council with regard to energy labelling of air conditioners (</w:t>
      </w:r>
      <w:r w:rsidRPr="00C8677A">
        <w:rPr>
          <w:rFonts w:asciiTheme="minorHAnsi" w:hAnsiTheme="minorHAnsi" w:cstheme="minorHAnsi"/>
          <w:i/>
          <w:iCs/>
          <w:sz w:val="20"/>
          <w:szCs w:val="20"/>
        </w:rPr>
        <w:t>OJ L 178, 6.7.2011, p. 1).</w:t>
      </w:r>
    </w:p>
  </w:footnote>
  <w:footnote w:id="3">
    <w:p w14:paraId="21ABE5CC" w14:textId="77777777" w:rsidR="00A37C28" w:rsidRPr="00D057DD" w:rsidRDefault="00A37C28" w:rsidP="00D057DD">
      <w:pPr>
        <w:pStyle w:val="FootnoteText"/>
      </w:pPr>
      <w:r w:rsidRPr="00D057DD">
        <w:rPr>
          <w:rStyle w:val="FootnoteReference"/>
        </w:rPr>
        <w:footnoteRef/>
      </w:r>
      <w:r w:rsidRPr="00D057DD">
        <w:t xml:space="preserve"> Commission Regulation (EU) 2016/2281 of 30 November 2016 </w:t>
      </w:r>
      <w:r w:rsidRPr="00180110">
        <w:rPr>
          <w:rFonts w:cstheme="minorHAnsi"/>
        </w:rPr>
        <w:t>implementing Directive 2009/125/EC of the European Parliament and of the Council with regard to ecodesign requirements for air heating products, cooling products, high temperature process chillers and fan coil units (OJ L 346, 20.1.2016, p. 1).</w:t>
      </w:r>
    </w:p>
  </w:footnote>
  <w:footnote w:id="4">
    <w:p w14:paraId="5A9B8485" w14:textId="77777777" w:rsidR="00A37C28" w:rsidRPr="00D057DD" w:rsidRDefault="00A37C28" w:rsidP="00D057DD">
      <w:pPr>
        <w:pStyle w:val="FootnoteText"/>
      </w:pPr>
      <w:r w:rsidRPr="00D057DD">
        <w:rPr>
          <w:rStyle w:val="FootnoteReference"/>
        </w:rPr>
        <w:footnoteRef/>
      </w:r>
      <w:r w:rsidRPr="00D057DD">
        <w:t xml:space="preserve"> Commission Regulation (EU) 2016/2281 of 30 November 2016 </w:t>
      </w:r>
      <w:r w:rsidRPr="00180110">
        <w:rPr>
          <w:rFonts w:cstheme="minorHAnsi"/>
        </w:rPr>
        <w:t>implementing Directive 2009/125/EC of the European Parliament and of the Council with regard to ecodesign requirements for air heating products, cooling products, high temperature process chillers and fan coil units (OJ L 346, 20.1.2016, p. 1).</w:t>
      </w:r>
    </w:p>
  </w:footnote>
  <w:footnote w:id="5">
    <w:p w14:paraId="1B37D21D" w14:textId="77777777" w:rsidR="00A37C28" w:rsidRPr="00D057DD" w:rsidRDefault="00A37C28" w:rsidP="00D057DD">
      <w:pPr>
        <w:pStyle w:val="NormalWeb"/>
        <w:spacing w:after="0"/>
      </w:pPr>
      <w:r w:rsidRPr="00D057DD">
        <w:rPr>
          <w:rStyle w:val="FootnoteReference"/>
          <w:rFonts w:asciiTheme="minorHAnsi" w:hAnsiTheme="minorHAnsi" w:cstheme="minorHAnsi"/>
          <w:sz w:val="22"/>
        </w:rPr>
        <w:footnoteRef/>
      </w:r>
      <w:r w:rsidRPr="00D057DD">
        <w:rPr>
          <w:rFonts w:asciiTheme="minorHAnsi" w:hAnsiTheme="minorHAnsi" w:cstheme="minorHAnsi"/>
          <w:sz w:val="22"/>
        </w:rPr>
        <w:t xml:space="preserve"> </w:t>
      </w:r>
      <w:r w:rsidRPr="00D057DD">
        <w:rPr>
          <w:rFonts w:asciiTheme="minorHAnsi" w:hAnsiTheme="minorHAnsi" w:cstheme="minorHAnsi"/>
          <w:sz w:val="20"/>
          <w:szCs w:val="20"/>
        </w:rPr>
        <w:t xml:space="preserve">Commission </w:t>
      </w:r>
      <w:r w:rsidRPr="00180110">
        <w:rPr>
          <w:rFonts w:asciiTheme="minorHAnsi" w:hAnsiTheme="minorHAnsi" w:cstheme="minorHAnsi"/>
          <w:sz w:val="20"/>
          <w:szCs w:val="20"/>
        </w:rPr>
        <w:t>Regulation (EU) 2015/1185 of 28 April 2015 implementing Directive 2009/125/EC of the European Parliament and of the Council with regard to ecodesign requirements for solid fuel local space heaters (</w:t>
      </w:r>
      <w:r w:rsidRPr="00180110">
        <w:rPr>
          <w:rFonts w:asciiTheme="minorHAnsi" w:hAnsiTheme="minorHAnsi" w:cstheme="minorHAnsi"/>
          <w:i/>
          <w:iCs/>
          <w:sz w:val="20"/>
          <w:szCs w:val="20"/>
        </w:rPr>
        <w:t>OJ L 193, 21.7.2015, p. 76).</w:t>
      </w:r>
    </w:p>
  </w:footnote>
  <w:footnote w:id="6">
    <w:p w14:paraId="4784564F" w14:textId="77777777" w:rsidR="00A37C28" w:rsidRPr="00C8677A" w:rsidRDefault="00A37C28" w:rsidP="00D057DD">
      <w:pPr>
        <w:pStyle w:val="NormalWeb"/>
        <w:spacing w:after="75"/>
        <w:rPr>
          <w:rFonts w:asciiTheme="minorHAnsi" w:hAnsiTheme="minorHAnsi" w:cstheme="minorHAnsi"/>
          <w:sz w:val="20"/>
          <w:szCs w:val="20"/>
        </w:rPr>
      </w:pPr>
      <w:r w:rsidRPr="00C8677A">
        <w:rPr>
          <w:rStyle w:val="FootnoteReference"/>
          <w:rFonts w:asciiTheme="minorHAnsi" w:hAnsiTheme="minorHAnsi" w:cstheme="minorHAnsi"/>
          <w:sz w:val="20"/>
          <w:szCs w:val="20"/>
        </w:rPr>
        <w:footnoteRef/>
      </w:r>
      <w:r w:rsidRPr="00C8677A">
        <w:rPr>
          <w:rFonts w:asciiTheme="minorHAnsi" w:hAnsiTheme="minorHAnsi" w:cstheme="minorHAnsi"/>
          <w:sz w:val="20"/>
          <w:szCs w:val="20"/>
        </w:rPr>
        <w:t xml:space="preserve"> Commission Delegated Regulation (EU) 2015/1186 of 24 April 2015 supplementing Directive 2010/30/EU of the European Parliament and of the Council with regard to the energy labelling of local space heaters (</w:t>
      </w:r>
      <w:r w:rsidRPr="00C8677A">
        <w:rPr>
          <w:rFonts w:asciiTheme="minorHAnsi" w:hAnsiTheme="minorHAnsi" w:cstheme="minorHAnsi"/>
          <w:i/>
          <w:iCs/>
          <w:sz w:val="20"/>
          <w:szCs w:val="20"/>
        </w:rPr>
        <w:t>OJ L 193, 21.7.2015, p. 20).</w:t>
      </w:r>
    </w:p>
  </w:footnote>
  <w:footnote w:id="7">
    <w:p w14:paraId="3AF0023F" w14:textId="77777777" w:rsidR="00A37C28" w:rsidRPr="00D057DD" w:rsidRDefault="00A37C28" w:rsidP="00D057DD">
      <w:pPr>
        <w:pStyle w:val="NormalWeb"/>
        <w:spacing w:after="0"/>
        <w:rPr>
          <w:rFonts w:asciiTheme="minorHAnsi" w:hAnsiTheme="minorHAnsi" w:cstheme="minorHAnsi"/>
        </w:rPr>
      </w:pPr>
      <w:r w:rsidRPr="00D057DD">
        <w:rPr>
          <w:rStyle w:val="FootnoteReference"/>
          <w:rFonts w:asciiTheme="minorHAnsi" w:hAnsiTheme="minorHAnsi" w:cstheme="minorHAnsi"/>
          <w:sz w:val="22"/>
        </w:rPr>
        <w:footnoteRef/>
      </w:r>
      <w:r w:rsidRPr="00D057DD">
        <w:rPr>
          <w:rStyle w:val="FootnoteReference"/>
          <w:rFonts w:asciiTheme="minorHAnsi" w:hAnsiTheme="minorHAnsi" w:cstheme="minorHAnsi"/>
          <w:sz w:val="22"/>
        </w:rPr>
        <w:t xml:space="preserve"> </w:t>
      </w:r>
      <w:r w:rsidRPr="00D057DD">
        <w:rPr>
          <w:rStyle w:val="FootnoteReference"/>
          <w:rFonts w:asciiTheme="minorHAnsi" w:hAnsiTheme="minorHAnsi" w:cstheme="minorHAnsi"/>
          <w:sz w:val="20"/>
          <w:vertAlign w:val="baseline"/>
        </w:rPr>
        <w:t>Commission Regulation (EU) 2015/1185 of 24 April 2015 implementing Directive 2009/125/EC of the European Parliament and of the Council with regard to ecodesign requirements for solid fuel local space heaters (</w:t>
      </w:r>
      <w:r w:rsidRPr="00D057DD">
        <w:rPr>
          <w:rStyle w:val="FootnoteReference"/>
          <w:rFonts w:asciiTheme="minorHAnsi" w:hAnsiTheme="minorHAnsi" w:cstheme="minorHAnsi"/>
          <w:i/>
          <w:sz w:val="20"/>
          <w:vertAlign w:val="baseline"/>
        </w:rPr>
        <w:t>OJ L 193, 21.7.2015, p. 1</w:t>
      </w:r>
      <w:r w:rsidRPr="00D057DD">
        <w:rPr>
          <w:rStyle w:val="FootnoteReference"/>
          <w:rFonts w:asciiTheme="minorHAnsi" w:hAnsiTheme="minorHAnsi" w:cstheme="minorHAnsi"/>
          <w:sz w:val="20"/>
          <w:vertAlign w:val="baseline"/>
        </w:rPr>
        <w:t>).</w:t>
      </w:r>
    </w:p>
  </w:footnote>
  <w:footnote w:id="8">
    <w:p w14:paraId="2492F3CB" w14:textId="77777777" w:rsidR="00A37C28" w:rsidRPr="00D057DD" w:rsidRDefault="00A37C28" w:rsidP="00D057DD">
      <w:pPr>
        <w:pStyle w:val="NormalWeb"/>
        <w:spacing w:after="0"/>
      </w:pPr>
      <w:r w:rsidRPr="00D057DD">
        <w:rPr>
          <w:rStyle w:val="FootnoteReference"/>
          <w:rFonts w:asciiTheme="minorHAnsi" w:hAnsiTheme="minorHAnsi" w:cstheme="minorHAnsi"/>
          <w:sz w:val="22"/>
        </w:rPr>
        <w:footnoteRef/>
      </w:r>
      <w:r w:rsidRPr="00D057DD">
        <w:rPr>
          <w:rFonts w:asciiTheme="minorHAnsi" w:hAnsiTheme="minorHAnsi" w:cstheme="minorHAnsi"/>
          <w:sz w:val="22"/>
        </w:rPr>
        <w:t xml:space="preserve"> </w:t>
      </w:r>
      <w:r w:rsidRPr="00D057DD">
        <w:rPr>
          <w:rFonts w:asciiTheme="minorHAnsi" w:hAnsiTheme="minorHAnsi" w:cstheme="minorHAnsi"/>
          <w:sz w:val="20"/>
          <w:szCs w:val="20"/>
        </w:rPr>
        <w:t xml:space="preserve">Commission </w:t>
      </w:r>
      <w:r w:rsidRPr="00180110">
        <w:rPr>
          <w:rFonts w:asciiTheme="minorHAnsi" w:hAnsiTheme="minorHAnsi" w:cstheme="minorHAnsi"/>
          <w:sz w:val="20"/>
          <w:szCs w:val="20"/>
        </w:rPr>
        <w:t>Regulation (EU) 2015/1185 of 28 April 2015 implementing Directive 2009/125/EC of the European Parliament and of the Council with regard to ecodesign requirements for solid fuel local space heaters (</w:t>
      </w:r>
      <w:r w:rsidRPr="00180110">
        <w:rPr>
          <w:rFonts w:asciiTheme="minorHAnsi" w:hAnsiTheme="minorHAnsi" w:cstheme="minorHAnsi"/>
          <w:i/>
          <w:iCs/>
          <w:sz w:val="20"/>
          <w:szCs w:val="20"/>
        </w:rPr>
        <w:t>OJ L 193, 21.7.2015, p. 76).</w:t>
      </w:r>
    </w:p>
  </w:footnote>
  <w:footnote w:id="9">
    <w:p w14:paraId="349F8279" w14:textId="77777777" w:rsidR="00A37C28" w:rsidRPr="00D057DD" w:rsidRDefault="00A37C28" w:rsidP="00D057DD">
      <w:pPr>
        <w:pStyle w:val="NormalWeb"/>
        <w:spacing w:after="0"/>
        <w:rPr>
          <w:rFonts w:asciiTheme="minorHAnsi" w:hAnsiTheme="minorHAnsi" w:cstheme="minorHAnsi"/>
        </w:rPr>
      </w:pPr>
      <w:r w:rsidRPr="00D057DD">
        <w:rPr>
          <w:rStyle w:val="FootnoteReference"/>
          <w:rFonts w:asciiTheme="minorHAnsi" w:hAnsiTheme="minorHAnsi" w:cstheme="minorHAnsi"/>
          <w:sz w:val="22"/>
        </w:rPr>
        <w:footnoteRef/>
      </w:r>
      <w:r w:rsidRPr="00D057DD">
        <w:rPr>
          <w:rStyle w:val="FootnoteReference"/>
          <w:rFonts w:asciiTheme="minorHAnsi" w:hAnsiTheme="minorHAnsi" w:cstheme="minorHAnsi"/>
          <w:sz w:val="22"/>
        </w:rPr>
        <w:t xml:space="preserve"> </w:t>
      </w:r>
      <w:r w:rsidRPr="00D057DD">
        <w:rPr>
          <w:rStyle w:val="FootnoteReference"/>
          <w:rFonts w:asciiTheme="minorHAnsi" w:hAnsiTheme="minorHAnsi" w:cstheme="minorHAnsi"/>
          <w:sz w:val="20"/>
          <w:vertAlign w:val="baseline"/>
        </w:rPr>
        <w:t>Commission Regulation (EU) 2015/1185 of 24 April 2015 implementing Directive 2009/125/EC of the European Parliament and of the Council with regard to ecodesign requirements for solid fuel local space heaters (</w:t>
      </w:r>
      <w:r w:rsidRPr="00D057DD">
        <w:rPr>
          <w:rStyle w:val="FootnoteReference"/>
          <w:rFonts w:asciiTheme="minorHAnsi" w:hAnsiTheme="minorHAnsi" w:cstheme="minorHAnsi"/>
          <w:i/>
          <w:sz w:val="20"/>
          <w:vertAlign w:val="baseline"/>
        </w:rPr>
        <w:t>OJ L 193, 21.7.2015, p. 1</w:t>
      </w:r>
      <w:r w:rsidRPr="00D057DD">
        <w:rPr>
          <w:rStyle w:val="FootnoteReference"/>
          <w:rFonts w:asciiTheme="minorHAnsi" w:hAnsiTheme="minorHAnsi" w:cstheme="minorHAnsi"/>
          <w:sz w:val="20"/>
          <w:vertAlign w:val="baseline"/>
        </w:rPr>
        <w:t>).</w:t>
      </w:r>
    </w:p>
  </w:footnote>
  <w:footnote w:id="10">
    <w:p w14:paraId="665D199F" w14:textId="77777777" w:rsidR="00815B1C" w:rsidRPr="00D057DD" w:rsidRDefault="00815B1C" w:rsidP="00815B1C">
      <w:pPr>
        <w:pStyle w:val="NormalWeb"/>
        <w:shd w:val="clear" w:color="auto" w:fill="FFFFFF"/>
        <w:spacing w:after="0"/>
        <w:rPr>
          <w:sz w:val="20"/>
          <w:szCs w:val="20"/>
        </w:rPr>
      </w:pPr>
      <w:r w:rsidRPr="00D057DD">
        <w:rPr>
          <w:rStyle w:val="FootnoteReference"/>
          <w:sz w:val="20"/>
          <w:szCs w:val="20"/>
        </w:rPr>
        <w:footnoteRef/>
      </w:r>
      <w:r w:rsidRPr="00D057DD">
        <w:rPr>
          <w:sz w:val="20"/>
          <w:szCs w:val="20"/>
        </w:rPr>
        <w:t xml:space="preserve"> </w:t>
      </w:r>
      <w:r w:rsidRPr="00D057DD">
        <w:rPr>
          <w:rFonts w:asciiTheme="minorHAnsi" w:eastAsiaTheme="minorHAnsi" w:hAnsiTheme="minorHAnsi" w:cstheme="minorBidi"/>
          <w:sz w:val="20"/>
          <w:szCs w:val="20"/>
          <w:lang w:eastAsia="en-US"/>
        </w:rPr>
        <w:t>Commission Delegated Regulation (EU) No 811/2013 of 18 February 2013 supplementing Directive 2010/30/EU of the European Parliament and of the Council with regard to the energy labelling of space heaters, combination heaters, packages of space heater, temperature control and solar device and packages of combination heater, temperature control and solar device (</w:t>
      </w:r>
      <w:r w:rsidRPr="00D057DD">
        <w:rPr>
          <w:rFonts w:asciiTheme="minorHAnsi" w:eastAsiaTheme="minorHAnsi" w:hAnsiTheme="minorHAnsi" w:cstheme="minorBidi"/>
          <w:i/>
          <w:iCs/>
          <w:sz w:val="20"/>
          <w:szCs w:val="20"/>
          <w:lang w:eastAsia="en-US"/>
        </w:rPr>
        <w:t>OJ L 239, 6.9.2013, p. 1)</w:t>
      </w:r>
      <w:r w:rsidR="00697DF8" w:rsidRPr="00D057DD">
        <w:rPr>
          <w:rFonts w:asciiTheme="minorHAnsi" w:eastAsiaTheme="minorHAnsi" w:hAnsiTheme="minorHAnsi" w:cstheme="minorBidi"/>
          <w:i/>
          <w:iCs/>
          <w:sz w:val="20"/>
          <w:szCs w:val="20"/>
          <w:lang w:eastAsia="en-US"/>
        </w:rPr>
        <w:t>.</w:t>
      </w:r>
    </w:p>
  </w:footnote>
  <w:footnote w:id="11">
    <w:p w14:paraId="1CACD569" w14:textId="77777777" w:rsidR="00815B1C" w:rsidRPr="00697DF8" w:rsidRDefault="00815B1C" w:rsidP="00815B1C">
      <w:pPr>
        <w:pStyle w:val="NormalWeb"/>
        <w:shd w:val="clear" w:color="auto" w:fill="FFFFFF"/>
        <w:spacing w:after="0"/>
        <w:rPr>
          <w:rFonts w:asciiTheme="minorHAnsi" w:eastAsiaTheme="minorHAnsi" w:hAnsiTheme="minorHAnsi" w:cstheme="minorBidi"/>
          <w:sz w:val="20"/>
          <w:szCs w:val="20"/>
          <w:lang w:eastAsia="en-US"/>
        </w:rPr>
      </w:pPr>
      <w:r w:rsidRPr="00697DF8">
        <w:rPr>
          <w:rStyle w:val="FootnoteReference"/>
          <w:sz w:val="20"/>
          <w:szCs w:val="20"/>
        </w:rPr>
        <w:footnoteRef/>
      </w:r>
      <w:r w:rsidRPr="00697DF8">
        <w:rPr>
          <w:sz w:val="20"/>
          <w:szCs w:val="20"/>
        </w:rPr>
        <w:t xml:space="preserve"> </w:t>
      </w:r>
      <w:r w:rsidRPr="00697DF8">
        <w:rPr>
          <w:rFonts w:asciiTheme="minorHAnsi" w:eastAsiaTheme="minorHAnsi" w:hAnsiTheme="minorHAnsi" w:cstheme="minorBidi"/>
          <w:sz w:val="20"/>
          <w:szCs w:val="20"/>
          <w:lang w:eastAsia="en-US"/>
        </w:rPr>
        <w:t>Commission Delegated Regulation (EU) 2015/1187 of 27 April 2015 supplementing Directive 2010/30/EU of the European Parliament and of the Council with regard to energy labelling of solid fuel boilers and packages of a solid fuel boiler, supplementary heaters, temperature controls and solar devices (</w:t>
      </w:r>
      <w:r w:rsidRPr="00697DF8">
        <w:rPr>
          <w:rFonts w:asciiTheme="minorHAnsi" w:eastAsiaTheme="minorHAnsi" w:hAnsiTheme="minorHAnsi" w:cstheme="minorBidi"/>
          <w:i/>
          <w:iCs/>
          <w:sz w:val="20"/>
          <w:szCs w:val="20"/>
          <w:lang w:eastAsia="en-US"/>
        </w:rPr>
        <w:t>OJ L 193, 21.7.2015, p. 43)</w:t>
      </w:r>
      <w:r w:rsidR="00697DF8">
        <w:rPr>
          <w:rFonts w:asciiTheme="minorHAnsi" w:eastAsiaTheme="minorHAnsi" w:hAnsiTheme="minorHAnsi" w:cstheme="minorBidi"/>
          <w:i/>
          <w:iCs/>
          <w:sz w:val="20"/>
          <w:szCs w:val="20"/>
          <w:lang w:eastAsia="en-US"/>
        </w:rPr>
        <w:t>.</w:t>
      </w:r>
    </w:p>
  </w:footnote>
  <w:footnote w:id="12">
    <w:p w14:paraId="2D83DF28" w14:textId="77777777" w:rsidR="00ED59B8" w:rsidRPr="00180110" w:rsidRDefault="00ED59B8" w:rsidP="00ED59B8">
      <w:pPr>
        <w:pStyle w:val="FootnoteText"/>
        <w:rPr>
          <w:lang w:val="en-IE"/>
        </w:rPr>
      </w:pPr>
      <w:r>
        <w:rPr>
          <w:rStyle w:val="FootnoteReference"/>
        </w:rPr>
        <w:footnoteRef/>
      </w:r>
      <w:r>
        <w:t xml:space="preserve"> </w:t>
      </w:r>
      <w:r>
        <w:rPr>
          <w:lang w:val="en-IE"/>
        </w:rPr>
        <w:t>Article 7(2) of Regulation (EU) 2017/1369</w:t>
      </w:r>
    </w:p>
  </w:footnote>
  <w:footnote w:id="13">
    <w:p w14:paraId="3714DC58" w14:textId="77777777" w:rsidR="00110A70" w:rsidRPr="00110A70" w:rsidRDefault="00110A70">
      <w:pPr>
        <w:pStyle w:val="FootnoteText"/>
      </w:pPr>
      <w:r>
        <w:rPr>
          <w:rStyle w:val="FootnoteReference"/>
        </w:rPr>
        <w:footnoteRef/>
      </w:r>
      <w:r>
        <w:t xml:space="preserve"> </w:t>
      </w:r>
      <w:hyperlink r:id="rId1" w:history="1">
        <w:r w:rsidRPr="00110A70">
          <w:rPr>
            <w:rStyle w:val="Hyperlink"/>
          </w:rPr>
          <w:t>https://eco-localspaceheaters.eu/the-study</w:t>
        </w:r>
      </w:hyperlink>
    </w:p>
  </w:footnote>
  <w:footnote w:id="14">
    <w:p w14:paraId="3655FB81" w14:textId="77777777" w:rsidR="00236ECE" w:rsidRPr="00CF19FA" w:rsidRDefault="00236ECE" w:rsidP="00236ECE">
      <w:pPr>
        <w:pStyle w:val="FootnoteText"/>
        <w:rPr>
          <w:lang w:val="en-IE"/>
        </w:rPr>
      </w:pPr>
      <w:r>
        <w:rPr>
          <w:rStyle w:val="FootnoteReference"/>
        </w:rPr>
        <w:footnoteRef/>
      </w:r>
      <w:r>
        <w:t xml:space="preserve"> Directive (EU) 2018/2002 of the European Parliament and of the Council of 11 December 2018 amending Directive 2012/27/EU on energy efficiency, OJ L 328, 21.12.2018, p. 210–230</w:t>
      </w:r>
    </w:p>
  </w:footnote>
  <w:footnote w:id="15">
    <w:p w14:paraId="1B9E4E0B" w14:textId="77777777" w:rsidR="00CA0562" w:rsidRPr="00110A70" w:rsidRDefault="00CA0562">
      <w:pPr>
        <w:pStyle w:val="FootnoteText"/>
      </w:pPr>
      <w:r>
        <w:rPr>
          <w:rStyle w:val="FootnoteReference"/>
        </w:rPr>
        <w:footnoteRef/>
      </w:r>
      <w:r>
        <w:t xml:space="preserve"> </w:t>
      </w:r>
      <w:hyperlink r:id="rId2" w:history="1">
        <w:r w:rsidRPr="00110A70">
          <w:rPr>
            <w:rStyle w:val="Hyperlink"/>
          </w:rPr>
          <w:t>http://www.eco-airconditioners.eu</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A5CEF"/>
    <w:multiLevelType w:val="hybridMultilevel"/>
    <w:tmpl w:val="2CFABCB6"/>
    <w:name w:val="Point"/>
    <w:lvl w:ilvl="0" w:tplc="08090011">
      <w:start w:val="1"/>
      <w:numFmt w:val="decimal"/>
      <w:lvlText w:val="%1)"/>
      <w:lvlJc w:val="left"/>
      <w:pPr>
        <w:ind w:left="765" w:hanging="360"/>
      </w:pPr>
    </w:lvl>
    <w:lvl w:ilvl="1" w:tplc="08090019" w:tentative="1">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1" w15:restartNumberingAfterBreak="0">
    <w:nsid w:val="1D8B20D3"/>
    <w:multiLevelType w:val="hybridMultilevel"/>
    <w:tmpl w:val="CDC0CDA4"/>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 w15:restartNumberingAfterBreak="0">
    <w:nsid w:val="2A287341"/>
    <w:multiLevelType w:val="hybridMultilevel"/>
    <w:tmpl w:val="CE44C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25098D"/>
    <w:multiLevelType w:val="hybridMultilevel"/>
    <w:tmpl w:val="7146EDB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DB01A1"/>
    <w:rsid w:val="00005A58"/>
    <w:rsid w:val="00033024"/>
    <w:rsid w:val="000339E6"/>
    <w:rsid w:val="00050FAC"/>
    <w:rsid w:val="00057C38"/>
    <w:rsid w:val="00070499"/>
    <w:rsid w:val="000A7E05"/>
    <w:rsid w:val="000A7F0C"/>
    <w:rsid w:val="000B30A2"/>
    <w:rsid w:val="000B63A3"/>
    <w:rsid w:val="000B655D"/>
    <w:rsid w:val="000C6BD5"/>
    <w:rsid w:val="000D6297"/>
    <w:rsid w:val="00110A70"/>
    <w:rsid w:val="00111337"/>
    <w:rsid w:val="0012711C"/>
    <w:rsid w:val="00127ED6"/>
    <w:rsid w:val="00130158"/>
    <w:rsid w:val="0013447F"/>
    <w:rsid w:val="0014433A"/>
    <w:rsid w:val="00147D92"/>
    <w:rsid w:val="0016062D"/>
    <w:rsid w:val="001655A4"/>
    <w:rsid w:val="00165FAB"/>
    <w:rsid w:val="001836EE"/>
    <w:rsid w:val="001A1BCD"/>
    <w:rsid w:val="001A2405"/>
    <w:rsid w:val="001B1421"/>
    <w:rsid w:val="001B60AD"/>
    <w:rsid w:val="001C14D4"/>
    <w:rsid w:val="001C273E"/>
    <w:rsid w:val="001F378C"/>
    <w:rsid w:val="0021010F"/>
    <w:rsid w:val="002158E4"/>
    <w:rsid w:val="00236ECE"/>
    <w:rsid w:val="00240776"/>
    <w:rsid w:val="00240AB0"/>
    <w:rsid w:val="00241843"/>
    <w:rsid w:val="00253D0F"/>
    <w:rsid w:val="00276CEF"/>
    <w:rsid w:val="002A2D68"/>
    <w:rsid w:val="002A4440"/>
    <w:rsid w:val="002A725D"/>
    <w:rsid w:val="003369C1"/>
    <w:rsid w:val="00351BE0"/>
    <w:rsid w:val="003532EE"/>
    <w:rsid w:val="00367183"/>
    <w:rsid w:val="0037349A"/>
    <w:rsid w:val="00373DBA"/>
    <w:rsid w:val="003A17A9"/>
    <w:rsid w:val="003A662F"/>
    <w:rsid w:val="003B69F4"/>
    <w:rsid w:val="003C01B9"/>
    <w:rsid w:val="003D132E"/>
    <w:rsid w:val="003D2EF5"/>
    <w:rsid w:val="003E4F65"/>
    <w:rsid w:val="00402346"/>
    <w:rsid w:val="0041523B"/>
    <w:rsid w:val="00420519"/>
    <w:rsid w:val="0044246A"/>
    <w:rsid w:val="0045115A"/>
    <w:rsid w:val="004836CE"/>
    <w:rsid w:val="00483C7E"/>
    <w:rsid w:val="00484927"/>
    <w:rsid w:val="004914E4"/>
    <w:rsid w:val="004A4F8B"/>
    <w:rsid w:val="004C141E"/>
    <w:rsid w:val="004D3330"/>
    <w:rsid w:val="004D40A2"/>
    <w:rsid w:val="004D6C63"/>
    <w:rsid w:val="004E0313"/>
    <w:rsid w:val="004F64ED"/>
    <w:rsid w:val="004F6DCA"/>
    <w:rsid w:val="004F7C83"/>
    <w:rsid w:val="0053742D"/>
    <w:rsid w:val="00543510"/>
    <w:rsid w:val="00546D7D"/>
    <w:rsid w:val="00563A41"/>
    <w:rsid w:val="00580737"/>
    <w:rsid w:val="0058580F"/>
    <w:rsid w:val="005A3BD8"/>
    <w:rsid w:val="005C3C70"/>
    <w:rsid w:val="005D1017"/>
    <w:rsid w:val="005E754B"/>
    <w:rsid w:val="005F151D"/>
    <w:rsid w:val="005F3D56"/>
    <w:rsid w:val="005F5DCC"/>
    <w:rsid w:val="006222C6"/>
    <w:rsid w:val="00622EB5"/>
    <w:rsid w:val="00640ED3"/>
    <w:rsid w:val="00662282"/>
    <w:rsid w:val="006626D2"/>
    <w:rsid w:val="00665410"/>
    <w:rsid w:val="006676ED"/>
    <w:rsid w:val="0068669B"/>
    <w:rsid w:val="00697DF8"/>
    <w:rsid w:val="006B0267"/>
    <w:rsid w:val="006C7E85"/>
    <w:rsid w:val="006D1DBF"/>
    <w:rsid w:val="006D3DF9"/>
    <w:rsid w:val="006D67DD"/>
    <w:rsid w:val="006D77AD"/>
    <w:rsid w:val="0071795D"/>
    <w:rsid w:val="007222EF"/>
    <w:rsid w:val="0074089A"/>
    <w:rsid w:val="00780458"/>
    <w:rsid w:val="00783DED"/>
    <w:rsid w:val="007A4B88"/>
    <w:rsid w:val="007C719F"/>
    <w:rsid w:val="007D1D9A"/>
    <w:rsid w:val="007E15EB"/>
    <w:rsid w:val="00801FBB"/>
    <w:rsid w:val="008053C7"/>
    <w:rsid w:val="008061B3"/>
    <w:rsid w:val="008066CC"/>
    <w:rsid w:val="00815B1C"/>
    <w:rsid w:val="00822E82"/>
    <w:rsid w:val="0083540C"/>
    <w:rsid w:val="008410B4"/>
    <w:rsid w:val="008423DB"/>
    <w:rsid w:val="00850B53"/>
    <w:rsid w:val="00852A8B"/>
    <w:rsid w:val="00865DCE"/>
    <w:rsid w:val="00887128"/>
    <w:rsid w:val="00896E55"/>
    <w:rsid w:val="008A504F"/>
    <w:rsid w:val="008A68AF"/>
    <w:rsid w:val="008C25EC"/>
    <w:rsid w:val="008D2FEC"/>
    <w:rsid w:val="008D50BF"/>
    <w:rsid w:val="008E12F5"/>
    <w:rsid w:val="008E2AE7"/>
    <w:rsid w:val="008F353F"/>
    <w:rsid w:val="00925AA7"/>
    <w:rsid w:val="00926C28"/>
    <w:rsid w:val="00957982"/>
    <w:rsid w:val="0098203B"/>
    <w:rsid w:val="009864F1"/>
    <w:rsid w:val="00993480"/>
    <w:rsid w:val="00994F45"/>
    <w:rsid w:val="00995A66"/>
    <w:rsid w:val="0099713E"/>
    <w:rsid w:val="009C1896"/>
    <w:rsid w:val="009C7551"/>
    <w:rsid w:val="009E1439"/>
    <w:rsid w:val="009E32EF"/>
    <w:rsid w:val="009F7696"/>
    <w:rsid w:val="00A259A6"/>
    <w:rsid w:val="00A2696E"/>
    <w:rsid w:val="00A37C28"/>
    <w:rsid w:val="00A63982"/>
    <w:rsid w:val="00A96530"/>
    <w:rsid w:val="00AA2E45"/>
    <w:rsid w:val="00AA366F"/>
    <w:rsid w:val="00AD36FF"/>
    <w:rsid w:val="00AE3DF5"/>
    <w:rsid w:val="00AE40F9"/>
    <w:rsid w:val="00B06326"/>
    <w:rsid w:val="00B37A22"/>
    <w:rsid w:val="00B443BF"/>
    <w:rsid w:val="00B62F81"/>
    <w:rsid w:val="00B769B6"/>
    <w:rsid w:val="00B83760"/>
    <w:rsid w:val="00B85AFC"/>
    <w:rsid w:val="00B91327"/>
    <w:rsid w:val="00B96D79"/>
    <w:rsid w:val="00BA1029"/>
    <w:rsid w:val="00BA22D9"/>
    <w:rsid w:val="00BB7562"/>
    <w:rsid w:val="00BC7B89"/>
    <w:rsid w:val="00BD3BAF"/>
    <w:rsid w:val="00BE04AD"/>
    <w:rsid w:val="00C1378C"/>
    <w:rsid w:val="00C37B1E"/>
    <w:rsid w:val="00C405F5"/>
    <w:rsid w:val="00C520B4"/>
    <w:rsid w:val="00C55ACE"/>
    <w:rsid w:val="00C57E2B"/>
    <w:rsid w:val="00C73E05"/>
    <w:rsid w:val="00C901F6"/>
    <w:rsid w:val="00C968E1"/>
    <w:rsid w:val="00CA0562"/>
    <w:rsid w:val="00CB7EE3"/>
    <w:rsid w:val="00CC5686"/>
    <w:rsid w:val="00CC66E2"/>
    <w:rsid w:val="00CD4F84"/>
    <w:rsid w:val="00CE5C90"/>
    <w:rsid w:val="00CF05A2"/>
    <w:rsid w:val="00CF19FA"/>
    <w:rsid w:val="00CF3303"/>
    <w:rsid w:val="00D04A9A"/>
    <w:rsid w:val="00D057DD"/>
    <w:rsid w:val="00D20FE9"/>
    <w:rsid w:val="00D324D3"/>
    <w:rsid w:val="00D94664"/>
    <w:rsid w:val="00DB01A1"/>
    <w:rsid w:val="00DB0BAB"/>
    <w:rsid w:val="00DB6F96"/>
    <w:rsid w:val="00DD0452"/>
    <w:rsid w:val="00DD75F4"/>
    <w:rsid w:val="00DE4AB6"/>
    <w:rsid w:val="00DE74D2"/>
    <w:rsid w:val="00DF073E"/>
    <w:rsid w:val="00DF4D17"/>
    <w:rsid w:val="00E01897"/>
    <w:rsid w:val="00E101F2"/>
    <w:rsid w:val="00E30913"/>
    <w:rsid w:val="00E31552"/>
    <w:rsid w:val="00E35D1D"/>
    <w:rsid w:val="00E47353"/>
    <w:rsid w:val="00E47A1C"/>
    <w:rsid w:val="00E527D8"/>
    <w:rsid w:val="00E6239B"/>
    <w:rsid w:val="00E77156"/>
    <w:rsid w:val="00E77784"/>
    <w:rsid w:val="00E845BA"/>
    <w:rsid w:val="00E903B6"/>
    <w:rsid w:val="00EA4C21"/>
    <w:rsid w:val="00EB0EAF"/>
    <w:rsid w:val="00EC0BDA"/>
    <w:rsid w:val="00ED0BB9"/>
    <w:rsid w:val="00ED59B8"/>
    <w:rsid w:val="00EE6945"/>
    <w:rsid w:val="00EF528F"/>
    <w:rsid w:val="00F0109E"/>
    <w:rsid w:val="00F0247F"/>
    <w:rsid w:val="00F35702"/>
    <w:rsid w:val="00F47C6D"/>
    <w:rsid w:val="00F61837"/>
    <w:rsid w:val="00F62AEE"/>
    <w:rsid w:val="00F65157"/>
    <w:rsid w:val="00FA1B96"/>
    <w:rsid w:val="00FB0167"/>
    <w:rsid w:val="00FB17EA"/>
    <w:rsid w:val="00FC0557"/>
    <w:rsid w:val="00FE2A60"/>
    <w:rsid w:val="00FE6D7A"/>
    <w:rsid w:val="00FF73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835BE"/>
  <w15:docId w15:val="{80D604F2-2F3C-48F9-9A62-9D8222B09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3A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F52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528F"/>
    <w:rPr>
      <w:sz w:val="20"/>
      <w:szCs w:val="20"/>
    </w:rPr>
  </w:style>
  <w:style w:type="character" w:styleId="FootnoteReference">
    <w:name w:val="footnote reference"/>
    <w:basedOn w:val="DefaultParagraphFont"/>
    <w:uiPriority w:val="99"/>
    <w:semiHidden/>
    <w:unhideWhenUsed/>
    <w:rsid w:val="00EF528F"/>
    <w:rPr>
      <w:vertAlign w:val="superscript"/>
    </w:rPr>
  </w:style>
  <w:style w:type="character" w:styleId="Emphasis">
    <w:name w:val="Emphasis"/>
    <w:basedOn w:val="DefaultParagraphFont"/>
    <w:uiPriority w:val="20"/>
    <w:qFormat/>
    <w:rsid w:val="00EF528F"/>
    <w:rPr>
      <w:i/>
      <w:iCs/>
    </w:rPr>
  </w:style>
  <w:style w:type="paragraph" w:styleId="NormalWeb">
    <w:name w:val="Normal (Web)"/>
    <w:basedOn w:val="Normal"/>
    <w:uiPriority w:val="99"/>
    <w:unhideWhenUsed/>
    <w:rsid w:val="00EF528F"/>
    <w:pPr>
      <w:spacing w:after="150" w:line="240" w:lineRule="auto"/>
    </w:pPr>
    <w:rPr>
      <w:rFonts w:ascii="Times New Roman" w:eastAsia="Times New Roman" w:hAnsi="Times New Roman" w:cs="Times New Roman"/>
      <w:sz w:val="24"/>
      <w:szCs w:val="24"/>
      <w:lang w:eastAsia="en-GB"/>
    </w:rPr>
  </w:style>
  <w:style w:type="paragraph" w:customStyle="1" w:styleId="hidden">
    <w:name w:val="hidden"/>
    <w:basedOn w:val="Normal"/>
    <w:rsid w:val="00EF528F"/>
    <w:pPr>
      <w:spacing w:after="150" w:line="240" w:lineRule="auto"/>
    </w:pPr>
    <w:rPr>
      <w:rFonts w:ascii="Times New Roman" w:eastAsia="Times New Roman" w:hAnsi="Times New Roman" w:cs="Times New Roman"/>
      <w:vanish/>
      <w:sz w:val="24"/>
      <w:szCs w:val="24"/>
      <w:lang w:eastAsia="en-GB"/>
    </w:rPr>
  </w:style>
  <w:style w:type="character" w:styleId="Hyperlink">
    <w:name w:val="Hyperlink"/>
    <w:basedOn w:val="DefaultParagraphFont"/>
    <w:uiPriority w:val="99"/>
    <w:unhideWhenUsed/>
    <w:rsid w:val="008D50BF"/>
    <w:rPr>
      <w:color w:val="0000FF" w:themeColor="hyperlink"/>
      <w:u w:val="single"/>
    </w:rPr>
  </w:style>
  <w:style w:type="character" w:styleId="PlaceholderText">
    <w:name w:val="Placeholder Text"/>
    <w:basedOn w:val="DefaultParagraphFont"/>
    <w:uiPriority w:val="99"/>
    <w:semiHidden/>
    <w:rsid w:val="0098203B"/>
    <w:rPr>
      <w:color w:val="808080"/>
    </w:rPr>
  </w:style>
  <w:style w:type="table" w:styleId="TableGrid">
    <w:name w:val="Table Grid"/>
    <w:basedOn w:val="TableNormal"/>
    <w:uiPriority w:val="59"/>
    <w:rsid w:val="001F37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10A70"/>
    <w:rPr>
      <w:color w:val="800080" w:themeColor="followedHyperlink"/>
      <w:u w:val="single"/>
    </w:rPr>
  </w:style>
  <w:style w:type="paragraph" w:styleId="BalloonText">
    <w:name w:val="Balloon Text"/>
    <w:basedOn w:val="Normal"/>
    <w:link w:val="BalloonTextChar"/>
    <w:uiPriority w:val="99"/>
    <w:semiHidden/>
    <w:unhideWhenUsed/>
    <w:rsid w:val="00CA05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0562"/>
    <w:rPr>
      <w:rFonts w:ascii="Segoe UI" w:hAnsi="Segoe UI" w:cs="Segoe UI"/>
      <w:sz w:val="18"/>
      <w:szCs w:val="18"/>
    </w:rPr>
  </w:style>
  <w:style w:type="character" w:styleId="CommentReference">
    <w:name w:val="annotation reference"/>
    <w:basedOn w:val="DefaultParagraphFont"/>
    <w:uiPriority w:val="99"/>
    <w:semiHidden/>
    <w:unhideWhenUsed/>
    <w:rsid w:val="005A3BD8"/>
    <w:rPr>
      <w:sz w:val="16"/>
      <w:szCs w:val="16"/>
    </w:rPr>
  </w:style>
  <w:style w:type="paragraph" w:styleId="CommentText">
    <w:name w:val="annotation text"/>
    <w:basedOn w:val="Normal"/>
    <w:link w:val="CommentTextChar"/>
    <w:uiPriority w:val="99"/>
    <w:semiHidden/>
    <w:unhideWhenUsed/>
    <w:rsid w:val="005A3BD8"/>
    <w:pPr>
      <w:spacing w:line="240" w:lineRule="auto"/>
    </w:pPr>
    <w:rPr>
      <w:sz w:val="20"/>
      <w:szCs w:val="20"/>
    </w:rPr>
  </w:style>
  <w:style w:type="character" w:customStyle="1" w:styleId="CommentTextChar">
    <w:name w:val="Comment Text Char"/>
    <w:basedOn w:val="DefaultParagraphFont"/>
    <w:link w:val="CommentText"/>
    <w:uiPriority w:val="99"/>
    <w:semiHidden/>
    <w:rsid w:val="005A3BD8"/>
    <w:rPr>
      <w:sz w:val="20"/>
      <w:szCs w:val="20"/>
    </w:rPr>
  </w:style>
  <w:style w:type="paragraph" w:styleId="CommentSubject">
    <w:name w:val="annotation subject"/>
    <w:basedOn w:val="CommentText"/>
    <w:next w:val="CommentText"/>
    <w:link w:val="CommentSubjectChar"/>
    <w:uiPriority w:val="99"/>
    <w:semiHidden/>
    <w:unhideWhenUsed/>
    <w:rsid w:val="005A3BD8"/>
    <w:rPr>
      <w:b/>
      <w:bCs/>
    </w:rPr>
  </w:style>
  <w:style w:type="character" w:customStyle="1" w:styleId="CommentSubjectChar">
    <w:name w:val="Comment Subject Char"/>
    <w:basedOn w:val="CommentTextChar"/>
    <w:link w:val="CommentSubject"/>
    <w:uiPriority w:val="99"/>
    <w:semiHidden/>
    <w:rsid w:val="005A3BD8"/>
    <w:rPr>
      <w:b/>
      <w:bCs/>
      <w:sz w:val="20"/>
      <w:szCs w:val="20"/>
    </w:rPr>
  </w:style>
  <w:style w:type="paragraph" w:styleId="ListParagraph">
    <w:name w:val="List Paragraph"/>
    <w:basedOn w:val="Normal"/>
    <w:uiPriority w:val="34"/>
    <w:qFormat/>
    <w:rsid w:val="00D057DD"/>
    <w:pPr>
      <w:ind w:left="720"/>
      <w:contextualSpacing/>
    </w:pPr>
  </w:style>
  <w:style w:type="paragraph" w:styleId="Revision">
    <w:name w:val="Revision"/>
    <w:hidden/>
    <w:uiPriority w:val="99"/>
    <w:semiHidden/>
    <w:rsid w:val="00CF19F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99502">
      <w:bodyDiv w:val="1"/>
      <w:marLeft w:val="0"/>
      <w:marRight w:val="0"/>
      <w:marTop w:val="0"/>
      <w:marBottom w:val="0"/>
      <w:divBdr>
        <w:top w:val="none" w:sz="0" w:space="0" w:color="auto"/>
        <w:left w:val="none" w:sz="0" w:space="0" w:color="auto"/>
        <w:bottom w:val="none" w:sz="0" w:space="0" w:color="auto"/>
        <w:right w:val="none" w:sz="0" w:space="0" w:color="auto"/>
      </w:divBdr>
      <w:divsChild>
        <w:div w:id="798374316">
          <w:marLeft w:val="0"/>
          <w:marRight w:val="0"/>
          <w:marTop w:val="0"/>
          <w:marBottom w:val="0"/>
          <w:divBdr>
            <w:top w:val="none" w:sz="0" w:space="0" w:color="auto"/>
            <w:left w:val="none" w:sz="0" w:space="0" w:color="auto"/>
            <w:bottom w:val="none" w:sz="0" w:space="0" w:color="auto"/>
            <w:right w:val="none" w:sz="0" w:space="0" w:color="auto"/>
          </w:divBdr>
          <w:divsChild>
            <w:div w:id="363528964">
              <w:marLeft w:val="0"/>
              <w:marRight w:val="0"/>
              <w:marTop w:val="0"/>
              <w:marBottom w:val="0"/>
              <w:divBdr>
                <w:top w:val="none" w:sz="0" w:space="0" w:color="auto"/>
                <w:left w:val="none" w:sz="0" w:space="0" w:color="auto"/>
                <w:bottom w:val="none" w:sz="0" w:space="0" w:color="auto"/>
                <w:right w:val="none" w:sz="0" w:space="0" w:color="auto"/>
              </w:divBdr>
              <w:divsChild>
                <w:div w:id="1446995095">
                  <w:marLeft w:val="0"/>
                  <w:marRight w:val="0"/>
                  <w:marTop w:val="0"/>
                  <w:marBottom w:val="0"/>
                  <w:divBdr>
                    <w:top w:val="none" w:sz="0" w:space="0" w:color="auto"/>
                    <w:left w:val="none" w:sz="0" w:space="0" w:color="auto"/>
                    <w:bottom w:val="none" w:sz="0" w:space="0" w:color="auto"/>
                    <w:right w:val="none" w:sz="0" w:space="0" w:color="auto"/>
                  </w:divBdr>
                  <w:divsChild>
                    <w:div w:id="849880646">
                      <w:marLeft w:val="-150"/>
                      <w:marRight w:val="-150"/>
                      <w:marTop w:val="0"/>
                      <w:marBottom w:val="0"/>
                      <w:divBdr>
                        <w:top w:val="none" w:sz="0" w:space="0" w:color="auto"/>
                        <w:left w:val="none" w:sz="0" w:space="0" w:color="auto"/>
                        <w:bottom w:val="none" w:sz="0" w:space="0" w:color="auto"/>
                        <w:right w:val="none" w:sz="0" w:space="0" w:color="auto"/>
                      </w:divBdr>
                      <w:divsChild>
                        <w:div w:id="796530117">
                          <w:marLeft w:val="0"/>
                          <w:marRight w:val="0"/>
                          <w:marTop w:val="0"/>
                          <w:marBottom w:val="0"/>
                          <w:divBdr>
                            <w:top w:val="none" w:sz="0" w:space="0" w:color="auto"/>
                            <w:left w:val="none" w:sz="0" w:space="0" w:color="auto"/>
                            <w:bottom w:val="none" w:sz="0" w:space="0" w:color="auto"/>
                            <w:right w:val="none" w:sz="0" w:space="0" w:color="auto"/>
                          </w:divBdr>
                          <w:divsChild>
                            <w:div w:id="1835487562">
                              <w:marLeft w:val="0"/>
                              <w:marRight w:val="0"/>
                              <w:marTop w:val="0"/>
                              <w:marBottom w:val="0"/>
                              <w:divBdr>
                                <w:top w:val="none" w:sz="0" w:space="0" w:color="auto"/>
                                <w:left w:val="none" w:sz="0" w:space="0" w:color="auto"/>
                                <w:bottom w:val="none" w:sz="0" w:space="0" w:color="auto"/>
                                <w:right w:val="none" w:sz="0" w:space="0" w:color="auto"/>
                              </w:divBdr>
                              <w:divsChild>
                                <w:div w:id="904796852">
                                  <w:marLeft w:val="0"/>
                                  <w:marRight w:val="0"/>
                                  <w:marTop w:val="0"/>
                                  <w:marBottom w:val="300"/>
                                  <w:divBdr>
                                    <w:top w:val="none" w:sz="0" w:space="0" w:color="auto"/>
                                    <w:left w:val="none" w:sz="0" w:space="0" w:color="auto"/>
                                    <w:bottom w:val="none" w:sz="0" w:space="0" w:color="auto"/>
                                    <w:right w:val="none" w:sz="0" w:space="0" w:color="auto"/>
                                  </w:divBdr>
                                  <w:divsChild>
                                    <w:div w:id="368578299">
                                      <w:marLeft w:val="0"/>
                                      <w:marRight w:val="0"/>
                                      <w:marTop w:val="0"/>
                                      <w:marBottom w:val="0"/>
                                      <w:divBdr>
                                        <w:top w:val="none" w:sz="0" w:space="0" w:color="auto"/>
                                        <w:left w:val="none" w:sz="0" w:space="0" w:color="auto"/>
                                        <w:bottom w:val="none" w:sz="0" w:space="0" w:color="auto"/>
                                        <w:right w:val="none" w:sz="0" w:space="0" w:color="auto"/>
                                      </w:divBdr>
                                      <w:divsChild>
                                        <w:div w:id="2087602375">
                                          <w:marLeft w:val="0"/>
                                          <w:marRight w:val="0"/>
                                          <w:marTop w:val="0"/>
                                          <w:marBottom w:val="0"/>
                                          <w:divBdr>
                                            <w:top w:val="none" w:sz="0" w:space="0" w:color="auto"/>
                                            <w:left w:val="none" w:sz="0" w:space="0" w:color="auto"/>
                                            <w:bottom w:val="none" w:sz="0" w:space="0" w:color="auto"/>
                                            <w:right w:val="none" w:sz="0" w:space="0" w:color="auto"/>
                                          </w:divBdr>
                                          <w:divsChild>
                                            <w:div w:id="25506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806473">
      <w:bodyDiv w:val="1"/>
      <w:marLeft w:val="0"/>
      <w:marRight w:val="0"/>
      <w:marTop w:val="0"/>
      <w:marBottom w:val="0"/>
      <w:divBdr>
        <w:top w:val="none" w:sz="0" w:space="0" w:color="auto"/>
        <w:left w:val="none" w:sz="0" w:space="0" w:color="auto"/>
        <w:bottom w:val="none" w:sz="0" w:space="0" w:color="auto"/>
        <w:right w:val="none" w:sz="0" w:space="0" w:color="auto"/>
      </w:divBdr>
      <w:divsChild>
        <w:div w:id="1299336938">
          <w:marLeft w:val="0"/>
          <w:marRight w:val="0"/>
          <w:marTop w:val="0"/>
          <w:marBottom w:val="0"/>
          <w:divBdr>
            <w:top w:val="none" w:sz="0" w:space="0" w:color="auto"/>
            <w:left w:val="none" w:sz="0" w:space="0" w:color="auto"/>
            <w:bottom w:val="none" w:sz="0" w:space="0" w:color="auto"/>
            <w:right w:val="none" w:sz="0" w:space="0" w:color="auto"/>
          </w:divBdr>
          <w:divsChild>
            <w:div w:id="1142384129">
              <w:marLeft w:val="0"/>
              <w:marRight w:val="0"/>
              <w:marTop w:val="0"/>
              <w:marBottom w:val="0"/>
              <w:divBdr>
                <w:top w:val="none" w:sz="0" w:space="0" w:color="auto"/>
                <w:left w:val="none" w:sz="0" w:space="0" w:color="auto"/>
                <w:bottom w:val="none" w:sz="0" w:space="0" w:color="auto"/>
                <w:right w:val="none" w:sz="0" w:space="0" w:color="auto"/>
              </w:divBdr>
              <w:divsChild>
                <w:div w:id="722409996">
                  <w:marLeft w:val="0"/>
                  <w:marRight w:val="0"/>
                  <w:marTop w:val="0"/>
                  <w:marBottom w:val="0"/>
                  <w:divBdr>
                    <w:top w:val="none" w:sz="0" w:space="0" w:color="auto"/>
                    <w:left w:val="none" w:sz="0" w:space="0" w:color="auto"/>
                    <w:bottom w:val="none" w:sz="0" w:space="0" w:color="auto"/>
                    <w:right w:val="none" w:sz="0" w:space="0" w:color="auto"/>
                  </w:divBdr>
                  <w:divsChild>
                    <w:div w:id="573509564">
                      <w:marLeft w:val="-150"/>
                      <w:marRight w:val="-150"/>
                      <w:marTop w:val="0"/>
                      <w:marBottom w:val="0"/>
                      <w:divBdr>
                        <w:top w:val="none" w:sz="0" w:space="0" w:color="auto"/>
                        <w:left w:val="none" w:sz="0" w:space="0" w:color="auto"/>
                        <w:bottom w:val="none" w:sz="0" w:space="0" w:color="auto"/>
                        <w:right w:val="none" w:sz="0" w:space="0" w:color="auto"/>
                      </w:divBdr>
                      <w:divsChild>
                        <w:div w:id="37626306">
                          <w:marLeft w:val="0"/>
                          <w:marRight w:val="0"/>
                          <w:marTop w:val="0"/>
                          <w:marBottom w:val="0"/>
                          <w:divBdr>
                            <w:top w:val="none" w:sz="0" w:space="0" w:color="auto"/>
                            <w:left w:val="none" w:sz="0" w:space="0" w:color="auto"/>
                            <w:bottom w:val="none" w:sz="0" w:space="0" w:color="auto"/>
                            <w:right w:val="none" w:sz="0" w:space="0" w:color="auto"/>
                          </w:divBdr>
                          <w:divsChild>
                            <w:div w:id="863176231">
                              <w:marLeft w:val="0"/>
                              <w:marRight w:val="0"/>
                              <w:marTop w:val="0"/>
                              <w:marBottom w:val="0"/>
                              <w:divBdr>
                                <w:top w:val="none" w:sz="0" w:space="0" w:color="auto"/>
                                <w:left w:val="none" w:sz="0" w:space="0" w:color="auto"/>
                                <w:bottom w:val="none" w:sz="0" w:space="0" w:color="auto"/>
                                <w:right w:val="none" w:sz="0" w:space="0" w:color="auto"/>
                              </w:divBdr>
                              <w:divsChild>
                                <w:div w:id="1773355724">
                                  <w:marLeft w:val="0"/>
                                  <w:marRight w:val="0"/>
                                  <w:marTop w:val="0"/>
                                  <w:marBottom w:val="300"/>
                                  <w:divBdr>
                                    <w:top w:val="none" w:sz="0" w:space="0" w:color="auto"/>
                                    <w:left w:val="none" w:sz="0" w:space="0" w:color="auto"/>
                                    <w:bottom w:val="none" w:sz="0" w:space="0" w:color="auto"/>
                                    <w:right w:val="none" w:sz="0" w:space="0" w:color="auto"/>
                                  </w:divBdr>
                                  <w:divsChild>
                                    <w:div w:id="549609251">
                                      <w:marLeft w:val="0"/>
                                      <w:marRight w:val="0"/>
                                      <w:marTop w:val="0"/>
                                      <w:marBottom w:val="0"/>
                                      <w:divBdr>
                                        <w:top w:val="none" w:sz="0" w:space="0" w:color="auto"/>
                                        <w:left w:val="none" w:sz="0" w:space="0" w:color="auto"/>
                                        <w:bottom w:val="none" w:sz="0" w:space="0" w:color="auto"/>
                                        <w:right w:val="none" w:sz="0" w:space="0" w:color="auto"/>
                                      </w:divBdr>
                                      <w:divsChild>
                                        <w:div w:id="1842773672">
                                          <w:marLeft w:val="0"/>
                                          <w:marRight w:val="0"/>
                                          <w:marTop w:val="0"/>
                                          <w:marBottom w:val="0"/>
                                          <w:divBdr>
                                            <w:top w:val="none" w:sz="0" w:space="0" w:color="auto"/>
                                            <w:left w:val="none" w:sz="0" w:space="0" w:color="auto"/>
                                            <w:bottom w:val="none" w:sz="0" w:space="0" w:color="auto"/>
                                            <w:right w:val="none" w:sz="0" w:space="0" w:color="auto"/>
                                          </w:divBdr>
                                          <w:divsChild>
                                            <w:div w:id="87611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3674797">
      <w:bodyDiv w:val="1"/>
      <w:marLeft w:val="0"/>
      <w:marRight w:val="0"/>
      <w:marTop w:val="0"/>
      <w:marBottom w:val="0"/>
      <w:divBdr>
        <w:top w:val="none" w:sz="0" w:space="0" w:color="auto"/>
        <w:left w:val="none" w:sz="0" w:space="0" w:color="auto"/>
        <w:bottom w:val="none" w:sz="0" w:space="0" w:color="auto"/>
        <w:right w:val="none" w:sz="0" w:space="0" w:color="auto"/>
      </w:divBdr>
      <w:divsChild>
        <w:div w:id="1819612569">
          <w:marLeft w:val="0"/>
          <w:marRight w:val="0"/>
          <w:marTop w:val="0"/>
          <w:marBottom w:val="0"/>
          <w:divBdr>
            <w:top w:val="none" w:sz="0" w:space="0" w:color="auto"/>
            <w:left w:val="none" w:sz="0" w:space="0" w:color="auto"/>
            <w:bottom w:val="none" w:sz="0" w:space="0" w:color="auto"/>
            <w:right w:val="none" w:sz="0" w:space="0" w:color="auto"/>
          </w:divBdr>
          <w:divsChild>
            <w:div w:id="1009911234">
              <w:marLeft w:val="0"/>
              <w:marRight w:val="0"/>
              <w:marTop w:val="0"/>
              <w:marBottom w:val="0"/>
              <w:divBdr>
                <w:top w:val="none" w:sz="0" w:space="0" w:color="auto"/>
                <w:left w:val="none" w:sz="0" w:space="0" w:color="auto"/>
                <w:bottom w:val="none" w:sz="0" w:space="0" w:color="auto"/>
                <w:right w:val="none" w:sz="0" w:space="0" w:color="auto"/>
              </w:divBdr>
              <w:divsChild>
                <w:div w:id="397748205">
                  <w:marLeft w:val="0"/>
                  <w:marRight w:val="0"/>
                  <w:marTop w:val="0"/>
                  <w:marBottom w:val="0"/>
                  <w:divBdr>
                    <w:top w:val="none" w:sz="0" w:space="0" w:color="auto"/>
                    <w:left w:val="none" w:sz="0" w:space="0" w:color="auto"/>
                    <w:bottom w:val="none" w:sz="0" w:space="0" w:color="auto"/>
                    <w:right w:val="none" w:sz="0" w:space="0" w:color="auto"/>
                  </w:divBdr>
                  <w:divsChild>
                    <w:div w:id="775976759">
                      <w:marLeft w:val="-150"/>
                      <w:marRight w:val="-150"/>
                      <w:marTop w:val="0"/>
                      <w:marBottom w:val="0"/>
                      <w:divBdr>
                        <w:top w:val="none" w:sz="0" w:space="0" w:color="auto"/>
                        <w:left w:val="none" w:sz="0" w:space="0" w:color="auto"/>
                        <w:bottom w:val="none" w:sz="0" w:space="0" w:color="auto"/>
                        <w:right w:val="none" w:sz="0" w:space="0" w:color="auto"/>
                      </w:divBdr>
                      <w:divsChild>
                        <w:div w:id="818880876">
                          <w:marLeft w:val="0"/>
                          <w:marRight w:val="0"/>
                          <w:marTop w:val="0"/>
                          <w:marBottom w:val="0"/>
                          <w:divBdr>
                            <w:top w:val="none" w:sz="0" w:space="0" w:color="auto"/>
                            <w:left w:val="none" w:sz="0" w:space="0" w:color="auto"/>
                            <w:bottom w:val="none" w:sz="0" w:space="0" w:color="auto"/>
                            <w:right w:val="none" w:sz="0" w:space="0" w:color="auto"/>
                          </w:divBdr>
                          <w:divsChild>
                            <w:div w:id="2029329962">
                              <w:marLeft w:val="0"/>
                              <w:marRight w:val="0"/>
                              <w:marTop w:val="0"/>
                              <w:marBottom w:val="0"/>
                              <w:divBdr>
                                <w:top w:val="none" w:sz="0" w:space="0" w:color="auto"/>
                                <w:left w:val="none" w:sz="0" w:space="0" w:color="auto"/>
                                <w:bottom w:val="none" w:sz="0" w:space="0" w:color="auto"/>
                                <w:right w:val="none" w:sz="0" w:space="0" w:color="auto"/>
                              </w:divBdr>
                              <w:divsChild>
                                <w:div w:id="1648703311">
                                  <w:marLeft w:val="0"/>
                                  <w:marRight w:val="0"/>
                                  <w:marTop w:val="0"/>
                                  <w:marBottom w:val="300"/>
                                  <w:divBdr>
                                    <w:top w:val="none" w:sz="0" w:space="0" w:color="auto"/>
                                    <w:left w:val="none" w:sz="0" w:space="0" w:color="auto"/>
                                    <w:bottom w:val="none" w:sz="0" w:space="0" w:color="auto"/>
                                    <w:right w:val="none" w:sz="0" w:space="0" w:color="auto"/>
                                  </w:divBdr>
                                  <w:divsChild>
                                    <w:div w:id="1463109586">
                                      <w:marLeft w:val="0"/>
                                      <w:marRight w:val="0"/>
                                      <w:marTop w:val="0"/>
                                      <w:marBottom w:val="0"/>
                                      <w:divBdr>
                                        <w:top w:val="none" w:sz="0" w:space="0" w:color="auto"/>
                                        <w:left w:val="none" w:sz="0" w:space="0" w:color="auto"/>
                                        <w:bottom w:val="none" w:sz="0" w:space="0" w:color="auto"/>
                                        <w:right w:val="none" w:sz="0" w:space="0" w:color="auto"/>
                                      </w:divBdr>
                                      <w:divsChild>
                                        <w:div w:id="1300962438">
                                          <w:marLeft w:val="0"/>
                                          <w:marRight w:val="0"/>
                                          <w:marTop w:val="0"/>
                                          <w:marBottom w:val="0"/>
                                          <w:divBdr>
                                            <w:top w:val="none" w:sz="0" w:space="0" w:color="auto"/>
                                            <w:left w:val="none" w:sz="0" w:space="0" w:color="auto"/>
                                            <w:bottom w:val="none" w:sz="0" w:space="0" w:color="auto"/>
                                            <w:right w:val="none" w:sz="0" w:space="0" w:color="auto"/>
                                          </w:divBdr>
                                          <w:divsChild>
                                            <w:div w:id="9943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9807055">
      <w:bodyDiv w:val="1"/>
      <w:marLeft w:val="0"/>
      <w:marRight w:val="0"/>
      <w:marTop w:val="0"/>
      <w:marBottom w:val="0"/>
      <w:divBdr>
        <w:top w:val="none" w:sz="0" w:space="0" w:color="auto"/>
        <w:left w:val="none" w:sz="0" w:space="0" w:color="auto"/>
        <w:bottom w:val="none" w:sz="0" w:space="0" w:color="auto"/>
        <w:right w:val="none" w:sz="0" w:space="0" w:color="auto"/>
      </w:divBdr>
      <w:divsChild>
        <w:div w:id="541793816">
          <w:marLeft w:val="0"/>
          <w:marRight w:val="0"/>
          <w:marTop w:val="0"/>
          <w:marBottom w:val="0"/>
          <w:divBdr>
            <w:top w:val="none" w:sz="0" w:space="0" w:color="auto"/>
            <w:left w:val="none" w:sz="0" w:space="0" w:color="auto"/>
            <w:bottom w:val="none" w:sz="0" w:space="0" w:color="auto"/>
            <w:right w:val="none" w:sz="0" w:space="0" w:color="auto"/>
          </w:divBdr>
          <w:divsChild>
            <w:div w:id="150368181">
              <w:marLeft w:val="0"/>
              <w:marRight w:val="0"/>
              <w:marTop w:val="0"/>
              <w:marBottom w:val="0"/>
              <w:divBdr>
                <w:top w:val="none" w:sz="0" w:space="0" w:color="auto"/>
                <w:left w:val="none" w:sz="0" w:space="0" w:color="auto"/>
                <w:bottom w:val="none" w:sz="0" w:space="0" w:color="auto"/>
                <w:right w:val="none" w:sz="0" w:space="0" w:color="auto"/>
              </w:divBdr>
              <w:divsChild>
                <w:div w:id="791483086">
                  <w:marLeft w:val="0"/>
                  <w:marRight w:val="0"/>
                  <w:marTop w:val="0"/>
                  <w:marBottom w:val="0"/>
                  <w:divBdr>
                    <w:top w:val="none" w:sz="0" w:space="0" w:color="auto"/>
                    <w:left w:val="none" w:sz="0" w:space="0" w:color="auto"/>
                    <w:bottom w:val="none" w:sz="0" w:space="0" w:color="auto"/>
                    <w:right w:val="none" w:sz="0" w:space="0" w:color="auto"/>
                  </w:divBdr>
                  <w:divsChild>
                    <w:div w:id="332532307">
                      <w:marLeft w:val="-150"/>
                      <w:marRight w:val="-150"/>
                      <w:marTop w:val="0"/>
                      <w:marBottom w:val="0"/>
                      <w:divBdr>
                        <w:top w:val="none" w:sz="0" w:space="0" w:color="auto"/>
                        <w:left w:val="none" w:sz="0" w:space="0" w:color="auto"/>
                        <w:bottom w:val="none" w:sz="0" w:space="0" w:color="auto"/>
                        <w:right w:val="none" w:sz="0" w:space="0" w:color="auto"/>
                      </w:divBdr>
                      <w:divsChild>
                        <w:div w:id="1456093689">
                          <w:marLeft w:val="0"/>
                          <w:marRight w:val="0"/>
                          <w:marTop w:val="0"/>
                          <w:marBottom w:val="0"/>
                          <w:divBdr>
                            <w:top w:val="none" w:sz="0" w:space="0" w:color="auto"/>
                            <w:left w:val="none" w:sz="0" w:space="0" w:color="auto"/>
                            <w:bottom w:val="none" w:sz="0" w:space="0" w:color="auto"/>
                            <w:right w:val="none" w:sz="0" w:space="0" w:color="auto"/>
                          </w:divBdr>
                          <w:divsChild>
                            <w:div w:id="842400627">
                              <w:marLeft w:val="0"/>
                              <w:marRight w:val="0"/>
                              <w:marTop w:val="0"/>
                              <w:marBottom w:val="0"/>
                              <w:divBdr>
                                <w:top w:val="none" w:sz="0" w:space="0" w:color="auto"/>
                                <w:left w:val="none" w:sz="0" w:space="0" w:color="auto"/>
                                <w:bottom w:val="none" w:sz="0" w:space="0" w:color="auto"/>
                                <w:right w:val="none" w:sz="0" w:space="0" w:color="auto"/>
                              </w:divBdr>
                              <w:divsChild>
                                <w:div w:id="1448769445">
                                  <w:marLeft w:val="0"/>
                                  <w:marRight w:val="0"/>
                                  <w:marTop w:val="0"/>
                                  <w:marBottom w:val="300"/>
                                  <w:divBdr>
                                    <w:top w:val="none" w:sz="0" w:space="0" w:color="auto"/>
                                    <w:left w:val="none" w:sz="0" w:space="0" w:color="auto"/>
                                    <w:bottom w:val="none" w:sz="0" w:space="0" w:color="auto"/>
                                    <w:right w:val="none" w:sz="0" w:space="0" w:color="auto"/>
                                  </w:divBdr>
                                  <w:divsChild>
                                    <w:div w:id="754476942">
                                      <w:marLeft w:val="0"/>
                                      <w:marRight w:val="0"/>
                                      <w:marTop w:val="0"/>
                                      <w:marBottom w:val="0"/>
                                      <w:divBdr>
                                        <w:top w:val="none" w:sz="0" w:space="0" w:color="auto"/>
                                        <w:left w:val="none" w:sz="0" w:space="0" w:color="auto"/>
                                        <w:bottom w:val="none" w:sz="0" w:space="0" w:color="auto"/>
                                        <w:right w:val="none" w:sz="0" w:space="0" w:color="auto"/>
                                      </w:divBdr>
                                      <w:divsChild>
                                        <w:div w:id="1885603968">
                                          <w:marLeft w:val="0"/>
                                          <w:marRight w:val="0"/>
                                          <w:marTop w:val="0"/>
                                          <w:marBottom w:val="0"/>
                                          <w:divBdr>
                                            <w:top w:val="none" w:sz="0" w:space="0" w:color="auto"/>
                                            <w:left w:val="none" w:sz="0" w:space="0" w:color="auto"/>
                                            <w:bottom w:val="none" w:sz="0" w:space="0" w:color="auto"/>
                                            <w:right w:val="none" w:sz="0" w:space="0" w:color="auto"/>
                                          </w:divBdr>
                                          <w:divsChild>
                                            <w:div w:id="96659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8205143">
      <w:bodyDiv w:val="1"/>
      <w:marLeft w:val="0"/>
      <w:marRight w:val="0"/>
      <w:marTop w:val="0"/>
      <w:marBottom w:val="0"/>
      <w:divBdr>
        <w:top w:val="none" w:sz="0" w:space="0" w:color="auto"/>
        <w:left w:val="none" w:sz="0" w:space="0" w:color="auto"/>
        <w:bottom w:val="none" w:sz="0" w:space="0" w:color="auto"/>
        <w:right w:val="none" w:sz="0" w:space="0" w:color="auto"/>
      </w:divBdr>
    </w:div>
    <w:div w:id="1018510354">
      <w:bodyDiv w:val="1"/>
      <w:marLeft w:val="0"/>
      <w:marRight w:val="0"/>
      <w:marTop w:val="0"/>
      <w:marBottom w:val="0"/>
      <w:divBdr>
        <w:top w:val="none" w:sz="0" w:space="0" w:color="auto"/>
        <w:left w:val="none" w:sz="0" w:space="0" w:color="auto"/>
        <w:bottom w:val="none" w:sz="0" w:space="0" w:color="auto"/>
        <w:right w:val="none" w:sz="0" w:space="0" w:color="auto"/>
      </w:divBdr>
    </w:div>
    <w:div w:id="1403717605">
      <w:bodyDiv w:val="1"/>
      <w:marLeft w:val="0"/>
      <w:marRight w:val="0"/>
      <w:marTop w:val="0"/>
      <w:marBottom w:val="0"/>
      <w:divBdr>
        <w:top w:val="none" w:sz="0" w:space="0" w:color="auto"/>
        <w:left w:val="none" w:sz="0" w:space="0" w:color="auto"/>
        <w:bottom w:val="none" w:sz="0" w:space="0" w:color="auto"/>
        <w:right w:val="none" w:sz="0" w:space="0" w:color="auto"/>
      </w:divBdr>
    </w:div>
    <w:div w:id="1438332821">
      <w:bodyDiv w:val="1"/>
      <w:marLeft w:val="0"/>
      <w:marRight w:val="0"/>
      <w:marTop w:val="0"/>
      <w:marBottom w:val="0"/>
      <w:divBdr>
        <w:top w:val="none" w:sz="0" w:space="0" w:color="auto"/>
        <w:left w:val="none" w:sz="0" w:space="0" w:color="auto"/>
        <w:bottom w:val="none" w:sz="0" w:space="0" w:color="auto"/>
        <w:right w:val="none" w:sz="0" w:space="0" w:color="auto"/>
      </w:divBdr>
      <w:divsChild>
        <w:div w:id="723329856">
          <w:marLeft w:val="0"/>
          <w:marRight w:val="0"/>
          <w:marTop w:val="0"/>
          <w:marBottom w:val="0"/>
          <w:divBdr>
            <w:top w:val="none" w:sz="0" w:space="0" w:color="auto"/>
            <w:left w:val="none" w:sz="0" w:space="0" w:color="auto"/>
            <w:bottom w:val="none" w:sz="0" w:space="0" w:color="auto"/>
            <w:right w:val="none" w:sz="0" w:space="0" w:color="auto"/>
          </w:divBdr>
          <w:divsChild>
            <w:div w:id="306277385">
              <w:marLeft w:val="0"/>
              <w:marRight w:val="0"/>
              <w:marTop w:val="0"/>
              <w:marBottom w:val="0"/>
              <w:divBdr>
                <w:top w:val="none" w:sz="0" w:space="0" w:color="auto"/>
                <w:left w:val="none" w:sz="0" w:space="0" w:color="auto"/>
                <w:bottom w:val="none" w:sz="0" w:space="0" w:color="auto"/>
                <w:right w:val="none" w:sz="0" w:space="0" w:color="auto"/>
              </w:divBdr>
              <w:divsChild>
                <w:div w:id="1273825988">
                  <w:marLeft w:val="0"/>
                  <w:marRight w:val="0"/>
                  <w:marTop w:val="0"/>
                  <w:marBottom w:val="0"/>
                  <w:divBdr>
                    <w:top w:val="none" w:sz="0" w:space="0" w:color="auto"/>
                    <w:left w:val="none" w:sz="0" w:space="0" w:color="auto"/>
                    <w:bottom w:val="none" w:sz="0" w:space="0" w:color="auto"/>
                    <w:right w:val="none" w:sz="0" w:space="0" w:color="auto"/>
                  </w:divBdr>
                  <w:divsChild>
                    <w:div w:id="1465198967">
                      <w:marLeft w:val="-150"/>
                      <w:marRight w:val="-150"/>
                      <w:marTop w:val="0"/>
                      <w:marBottom w:val="0"/>
                      <w:divBdr>
                        <w:top w:val="none" w:sz="0" w:space="0" w:color="auto"/>
                        <w:left w:val="none" w:sz="0" w:space="0" w:color="auto"/>
                        <w:bottom w:val="none" w:sz="0" w:space="0" w:color="auto"/>
                        <w:right w:val="none" w:sz="0" w:space="0" w:color="auto"/>
                      </w:divBdr>
                      <w:divsChild>
                        <w:div w:id="236944098">
                          <w:marLeft w:val="0"/>
                          <w:marRight w:val="0"/>
                          <w:marTop w:val="0"/>
                          <w:marBottom w:val="0"/>
                          <w:divBdr>
                            <w:top w:val="none" w:sz="0" w:space="0" w:color="auto"/>
                            <w:left w:val="none" w:sz="0" w:space="0" w:color="auto"/>
                            <w:bottom w:val="none" w:sz="0" w:space="0" w:color="auto"/>
                            <w:right w:val="none" w:sz="0" w:space="0" w:color="auto"/>
                          </w:divBdr>
                          <w:divsChild>
                            <w:div w:id="510680041">
                              <w:marLeft w:val="0"/>
                              <w:marRight w:val="0"/>
                              <w:marTop w:val="0"/>
                              <w:marBottom w:val="0"/>
                              <w:divBdr>
                                <w:top w:val="none" w:sz="0" w:space="0" w:color="auto"/>
                                <w:left w:val="none" w:sz="0" w:space="0" w:color="auto"/>
                                <w:bottom w:val="none" w:sz="0" w:space="0" w:color="auto"/>
                                <w:right w:val="none" w:sz="0" w:space="0" w:color="auto"/>
                              </w:divBdr>
                              <w:divsChild>
                                <w:div w:id="1759716806">
                                  <w:marLeft w:val="0"/>
                                  <w:marRight w:val="0"/>
                                  <w:marTop w:val="0"/>
                                  <w:marBottom w:val="300"/>
                                  <w:divBdr>
                                    <w:top w:val="none" w:sz="0" w:space="0" w:color="auto"/>
                                    <w:left w:val="none" w:sz="0" w:space="0" w:color="auto"/>
                                    <w:bottom w:val="none" w:sz="0" w:space="0" w:color="auto"/>
                                    <w:right w:val="none" w:sz="0" w:space="0" w:color="auto"/>
                                  </w:divBdr>
                                  <w:divsChild>
                                    <w:div w:id="2090615428">
                                      <w:marLeft w:val="0"/>
                                      <w:marRight w:val="0"/>
                                      <w:marTop w:val="0"/>
                                      <w:marBottom w:val="0"/>
                                      <w:divBdr>
                                        <w:top w:val="none" w:sz="0" w:space="0" w:color="auto"/>
                                        <w:left w:val="none" w:sz="0" w:space="0" w:color="auto"/>
                                        <w:bottom w:val="none" w:sz="0" w:space="0" w:color="auto"/>
                                        <w:right w:val="none" w:sz="0" w:space="0" w:color="auto"/>
                                      </w:divBdr>
                                      <w:divsChild>
                                        <w:div w:id="1617248764">
                                          <w:marLeft w:val="0"/>
                                          <w:marRight w:val="0"/>
                                          <w:marTop w:val="0"/>
                                          <w:marBottom w:val="0"/>
                                          <w:divBdr>
                                            <w:top w:val="none" w:sz="0" w:space="0" w:color="auto"/>
                                            <w:left w:val="none" w:sz="0" w:space="0" w:color="auto"/>
                                            <w:bottom w:val="none" w:sz="0" w:space="0" w:color="auto"/>
                                            <w:right w:val="none" w:sz="0" w:space="0" w:color="auto"/>
                                          </w:divBdr>
                                          <w:divsChild>
                                            <w:div w:id="42180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5160713">
      <w:bodyDiv w:val="1"/>
      <w:marLeft w:val="0"/>
      <w:marRight w:val="0"/>
      <w:marTop w:val="0"/>
      <w:marBottom w:val="0"/>
      <w:divBdr>
        <w:top w:val="none" w:sz="0" w:space="0" w:color="auto"/>
        <w:left w:val="none" w:sz="0" w:space="0" w:color="auto"/>
        <w:bottom w:val="none" w:sz="0" w:space="0" w:color="auto"/>
        <w:right w:val="none" w:sz="0" w:space="0" w:color="auto"/>
      </w:divBdr>
    </w:div>
    <w:div w:id="1821002532">
      <w:bodyDiv w:val="1"/>
      <w:marLeft w:val="0"/>
      <w:marRight w:val="0"/>
      <w:marTop w:val="0"/>
      <w:marBottom w:val="0"/>
      <w:divBdr>
        <w:top w:val="none" w:sz="0" w:space="0" w:color="auto"/>
        <w:left w:val="none" w:sz="0" w:space="0" w:color="auto"/>
        <w:bottom w:val="none" w:sz="0" w:space="0" w:color="auto"/>
        <w:right w:val="none" w:sz="0" w:space="0" w:color="auto"/>
      </w:divBdr>
      <w:divsChild>
        <w:div w:id="1033531219">
          <w:marLeft w:val="0"/>
          <w:marRight w:val="0"/>
          <w:marTop w:val="0"/>
          <w:marBottom w:val="0"/>
          <w:divBdr>
            <w:top w:val="none" w:sz="0" w:space="0" w:color="auto"/>
            <w:left w:val="none" w:sz="0" w:space="0" w:color="auto"/>
            <w:bottom w:val="none" w:sz="0" w:space="0" w:color="auto"/>
            <w:right w:val="none" w:sz="0" w:space="0" w:color="auto"/>
          </w:divBdr>
          <w:divsChild>
            <w:div w:id="1653563343">
              <w:marLeft w:val="0"/>
              <w:marRight w:val="0"/>
              <w:marTop w:val="0"/>
              <w:marBottom w:val="0"/>
              <w:divBdr>
                <w:top w:val="none" w:sz="0" w:space="0" w:color="auto"/>
                <w:left w:val="none" w:sz="0" w:space="0" w:color="auto"/>
                <w:bottom w:val="none" w:sz="0" w:space="0" w:color="auto"/>
                <w:right w:val="none" w:sz="0" w:space="0" w:color="auto"/>
              </w:divBdr>
              <w:divsChild>
                <w:div w:id="1653556958">
                  <w:marLeft w:val="0"/>
                  <w:marRight w:val="0"/>
                  <w:marTop w:val="0"/>
                  <w:marBottom w:val="0"/>
                  <w:divBdr>
                    <w:top w:val="none" w:sz="0" w:space="0" w:color="auto"/>
                    <w:left w:val="none" w:sz="0" w:space="0" w:color="auto"/>
                    <w:bottom w:val="none" w:sz="0" w:space="0" w:color="auto"/>
                    <w:right w:val="none" w:sz="0" w:space="0" w:color="auto"/>
                  </w:divBdr>
                  <w:divsChild>
                    <w:div w:id="421335464">
                      <w:marLeft w:val="-150"/>
                      <w:marRight w:val="-150"/>
                      <w:marTop w:val="0"/>
                      <w:marBottom w:val="0"/>
                      <w:divBdr>
                        <w:top w:val="none" w:sz="0" w:space="0" w:color="auto"/>
                        <w:left w:val="none" w:sz="0" w:space="0" w:color="auto"/>
                        <w:bottom w:val="none" w:sz="0" w:space="0" w:color="auto"/>
                        <w:right w:val="none" w:sz="0" w:space="0" w:color="auto"/>
                      </w:divBdr>
                      <w:divsChild>
                        <w:div w:id="1880583446">
                          <w:marLeft w:val="0"/>
                          <w:marRight w:val="0"/>
                          <w:marTop w:val="0"/>
                          <w:marBottom w:val="0"/>
                          <w:divBdr>
                            <w:top w:val="none" w:sz="0" w:space="0" w:color="auto"/>
                            <w:left w:val="none" w:sz="0" w:space="0" w:color="auto"/>
                            <w:bottom w:val="none" w:sz="0" w:space="0" w:color="auto"/>
                            <w:right w:val="none" w:sz="0" w:space="0" w:color="auto"/>
                          </w:divBdr>
                          <w:divsChild>
                            <w:div w:id="835419805">
                              <w:marLeft w:val="0"/>
                              <w:marRight w:val="0"/>
                              <w:marTop w:val="0"/>
                              <w:marBottom w:val="0"/>
                              <w:divBdr>
                                <w:top w:val="none" w:sz="0" w:space="0" w:color="auto"/>
                                <w:left w:val="none" w:sz="0" w:space="0" w:color="auto"/>
                                <w:bottom w:val="none" w:sz="0" w:space="0" w:color="auto"/>
                                <w:right w:val="none" w:sz="0" w:space="0" w:color="auto"/>
                              </w:divBdr>
                              <w:divsChild>
                                <w:div w:id="649092013">
                                  <w:marLeft w:val="0"/>
                                  <w:marRight w:val="0"/>
                                  <w:marTop w:val="0"/>
                                  <w:marBottom w:val="300"/>
                                  <w:divBdr>
                                    <w:top w:val="none" w:sz="0" w:space="0" w:color="auto"/>
                                    <w:left w:val="none" w:sz="0" w:space="0" w:color="auto"/>
                                    <w:bottom w:val="none" w:sz="0" w:space="0" w:color="auto"/>
                                    <w:right w:val="none" w:sz="0" w:space="0" w:color="auto"/>
                                  </w:divBdr>
                                  <w:divsChild>
                                    <w:div w:id="1250578031">
                                      <w:marLeft w:val="0"/>
                                      <w:marRight w:val="0"/>
                                      <w:marTop w:val="0"/>
                                      <w:marBottom w:val="0"/>
                                      <w:divBdr>
                                        <w:top w:val="none" w:sz="0" w:space="0" w:color="auto"/>
                                        <w:left w:val="none" w:sz="0" w:space="0" w:color="auto"/>
                                        <w:bottom w:val="none" w:sz="0" w:space="0" w:color="auto"/>
                                        <w:right w:val="none" w:sz="0" w:space="0" w:color="auto"/>
                                      </w:divBdr>
                                      <w:divsChild>
                                        <w:div w:id="271477159">
                                          <w:marLeft w:val="0"/>
                                          <w:marRight w:val="0"/>
                                          <w:marTop w:val="0"/>
                                          <w:marBottom w:val="0"/>
                                          <w:divBdr>
                                            <w:top w:val="none" w:sz="0" w:space="0" w:color="auto"/>
                                            <w:left w:val="none" w:sz="0" w:space="0" w:color="auto"/>
                                            <w:bottom w:val="none" w:sz="0" w:space="0" w:color="auto"/>
                                            <w:right w:val="none" w:sz="0" w:space="0" w:color="auto"/>
                                          </w:divBdr>
                                          <w:divsChild>
                                            <w:div w:id="68637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50213908">
      <w:bodyDiv w:val="1"/>
      <w:marLeft w:val="0"/>
      <w:marRight w:val="0"/>
      <w:marTop w:val="0"/>
      <w:marBottom w:val="0"/>
      <w:divBdr>
        <w:top w:val="none" w:sz="0" w:space="0" w:color="auto"/>
        <w:left w:val="none" w:sz="0" w:space="0" w:color="auto"/>
        <w:bottom w:val="none" w:sz="0" w:space="0" w:color="auto"/>
        <w:right w:val="none" w:sz="0" w:space="0" w:color="auto"/>
      </w:divBdr>
      <w:divsChild>
        <w:div w:id="465390580">
          <w:marLeft w:val="0"/>
          <w:marRight w:val="0"/>
          <w:marTop w:val="0"/>
          <w:marBottom w:val="0"/>
          <w:divBdr>
            <w:top w:val="none" w:sz="0" w:space="0" w:color="auto"/>
            <w:left w:val="none" w:sz="0" w:space="0" w:color="auto"/>
            <w:bottom w:val="none" w:sz="0" w:space="0" w:color="auto"/>
            <w:right w:val="none" w:sz="0" w:space="0" w:color="auto"/>
          </w:divBdr>
          <w:divsChild>
            <w:div w:id="664632800">
              <w:marLeft w:val="0"/>
              <w:marRight w:val="0"/>
              <w:marTop w:val="0"/>
              <w:marBottom w:val="0"/>
              <w:divBdr>
                <w:top w:val="none" w:sz="0" w:space="0" w:color="auto"/>
                <w:left w:val="none" w:sz="0" w:space="0" w:color="auto"/>
                <w:bottom w:val="none" w:sz="0" w:space="0" w:color="auto"/>
                <w:right w:val="none" w:sz="0" w:space="0" w:color="auto"/>
              </w:divBdr>
              <w:divsChild>
                <w:div w:id="1546331773">
                  <w:marLeft w:val="0"/>
                  <w:marRight w:val="0"/>
                  <w:marTop w:val="0"/>
                  <w:marBottom w:val="0"/>
                  <w:divBdr>
                    <w:top w:val="none" w:sz="0" w:space="0" w:color="auto"/>
                    <w:left w:val="none" w:sz="0" w:space="0" w:color="auto"/>
                    <w:bottom w:val="none" w:sz="0" w:space="0" w:color="auto"/>
                    <w:right w:val="none" w:sz="0" w:space="0" w:color="auto"/>
                  </w:divBdr>
                  <w:divsChild>
                    <w:div w:id="675035693">
                      <w:marLeft w:val="-150"/>
                      <w:marRight w:val="-150"/>
                      <w:marTop w:val="0"/>
                      <w:marBottom w:val="0"/>
                      <w:divBdr>
                        <w:top w:val="none" w:sz="0" w:space="0" w:color="auto"/>
                        <w:left w:val="none" w:sz="0" w:space="0" w:color="auto"/>
                        <w:bottom w:val="none" w:sz="0" w:space="0" w:color="auto"/>
                        <w:right w:val="none" w:sz="0" w:space="0" w:color="auto"/>
                      </w:divBdr>
                      <w:divsChild>
                        <w:div w:id="1474172337">
                          <w:marLeft w:val="0"/>
                          <w:marRight w:val="0"/>
                          <w:marTop w:val="0"/>
                          <w:marBottom w:val="0"/>
                          <w:divBdr>
                            <w:top w:val="none" w:sz="0" w:space="0" w:color="auto"/>
                            <w:left w:val="none" w:sz="0" w:space="0" w:color="auto"/>
                            <w:bottom w:val="none" w:sz="0" w:space="0" w:color="auto"/>
                            <w:right w:val="none" w:sz="0" w:space="0" w:color="auto"/>
                          </w:divBdr>
                          <w:divsChild>
                            <w:div w:id="2125228906">
                              <w:marLeft w:val="0"/>
                              <w:marRight w:val="0"/>
                              <w:marTop w:val="0"/>
                              <w:marBottom w:val="0"/>
                              <w:divBdr>
                                <w:top w:val="none" w:sz="0" w:space="0" w:color="auto"/>
                                <w:left w:val="none" w:sz="0" w:space="0" w:color="auto"/>
                                <w:bottom w:val="none" w:sz="0" w:space="0" w:color="auto"/>
                                <w:right w:val="none" w:sz="0" w:space="0" w:color="auto"/>
                              </w:divBdr>
                              <w:divsChild>
                                <w:div w:id="1215313190">
                                  <w:marLeft w:val="0"/>
                                  <w:marRight w:val="0"/>
                                  <w:marTop w:val="0"/>
                                  <w:marBottom w:val="300"/>
                                  <w:divBdr>
                                    <w:top w:val="none" w:sz="0" w:space="0" w:color="auto"/>
                                    <w:left w:val="none" w:sz="0" w:space="0" w:color="auto"/>
                                    <w:bottom w:val="none" w:sz="0" w:space="0" w:color="auto"/>
                                    <w:right w:val="none" w:sz="0" w:space="0" w:color="auto"/>
                                  </w:divBdr>
                                  <w:divsChild>
                                    <w:div w:id="367682842">
                                      <w:marLeft w:val="0"/>
                                      <w:marRight w:val="0"/>
                                      <w:marTop w:val="0"/>
                                      <w:marBottom w:val="0"/>
                                      <w:divBdr>
                                        <w:top w:val="none" w:sz="0" w:space="0" w:color="auto"/>
                                        <w:left w:val="none" w:sz="0" w:space="0" w:color="auto"/>
                                        <w:bottom w:val="none" w:sz="0" w:space="0" w:color="auto"/>
                                        <w:right w:val="none" w:sz="0" w:space="0" w:color="auto"/>
                                      </w:divBdr>
                                      <w:divsChild>
                                        <w:div w:id="790368318">
                                          <w:marLeft w:val="0"/>
                                          <w:marRight w:val="0"/>
                                          <w:marTop w:val="0"/>
                                          <w:marBottom w:val="0"/>
                                          <w:divBdr>
                                            <w:top w:val="none" w:sz="0" w:space="0" w:color="auto"/>
                                            <w:left w:val="none" w:sz="0" w:space="0" w:color="auto"/>
                                            <w:bottom w:val="none" w:sz="0" w:space="0" w:color="auto"/>
                                            <w:right w:val="none" w:sz="0" w:space="0" w:color="auto"/>
                                          </w:divBdr>
                                          <w:divsChild>
                                            <w:div w:id="17415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234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www.eco-airconditioners.eu" TargetMode="External"/><Relationship Id="rId1" Type="http://schemas.openxmlformats.org/officeDocument/2006/relationships/hyperlink" Target="https://eco-localspaceheaters.eu/the-stu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94B7A70BE268C49A9D94598C0789797" ma:contentTypeVersion="2" ma:contentTypeDescription="Create a new document." ma:contentTypeScope="" ma:versionID="5818bad34bb7d8b89f99a3e8abe7a9fd">
  <xsd:schema xmlns:xsd="http://www.w3.org/2001/XMLSchema" xmlns:xs="http://www.w3.org/2001/XMLSchema" xmlns:p="http://schemas.microsoft.com/office/2006/metadata/properties" xmlns:ns3="6b12f82d-20f0-4444-9a90-808b8b8e1c7e" targetNamespace="http://schemas.microsoft.com/office/2006/metadata/properties" ma:root="true" ma:fieldsID="8e748990203088f850fd856845586c80" ns3:_="">
    <xsd:import namespace="6b12f82d-20f0-4444-9a90-808b8b8e1c7e"/>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12f82d-20f0-4444-9a90-808b8b8e1c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39A1DB9-1B85-46E1-A048-C4E9A43AE3F4}">
  <ds:schemaRefs>
    <ds:schemaRef ds:uri="http://schemas.microsoft.com/sharepoint/v3/contenttype/forms"/>
  </ds:schemaRefs>
</ds:datastoreItem>
</file>

<file path=customXml/itemProps2.xml><?xml version="1.0" encoding="utf-8"?>
<ds:datastoreItem xmlns:ds="http://schemas.openxmlformats.org/officeDocument/2006/customXml" ds:itemID="{EDF96F58-B8B1-48DA-B160-13E8324B2E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12f82d-20f0-4444-9a90-808b8b8e1c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FF8ADA-5F44-4FDF-BC7A-D6FF9F3588C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49E2A8-D804-4585-A9FB-E7418FAD2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1631</Words>
  <Characters>9302</Characters>
  <Application>Microsoft Office Word</Application>
  <DocSecurity>0</DocSecurity>
  <Lines>77</Lines>
  <Paragraphs>21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European Commission</Company>
  <LinksUpToDate>false</LinksUpToDate>
  <CharactersWithSpaces>10912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BEELAERTS Veerle (ENER)</dc:creator>
  <cp:keywords/>
  <dc:description/>
  <cp:lastModifiedBy>Adrian Regueira-Lopez</cp:lastModifiedBy>
  <cp:revision>2</cp:revision>
  <dcterms:created xsi:type="dcterms:W3CDTF">2019-08-19T15:20:00Z</dcterms:created>
  <dcterms:modified xsi:type="dcterms:W3CDTF">2019-08-19T15:20:00Z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0x010100A94B7A70BE268C49A9D94598C0789797</vt:lpwstr>
  </property>
</Properties>
</file>