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F226BB" w14:textId="6C1085C6" w:rsidR="00D363A1" w:rsidRPr="00A01AA1" w:rsidRDefault="00036C46" w:rsidP="00036C46">
      <w:pPr>
        <w:pStyle w:val="Pagedecouverture"/>
      </w:pPr>
      <w:r>
        <w:pict w14:anchorId="7D259B4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alt="BC0C0054-35AA-4732-8B99-987C3EB1F3AE" style="width:450.75pt;height:618pt">
            <v:imagedata r:id="rId9" o:title=""/>
          </v:shape>
        </w:pict>
      </w:r>
    </w:p>
    <w:p w14:paraId="70423B58" w14:textId="77777777" w:rsidR="00E61B4E" w:rsidRDefault="00E61B4E" w:rsidP="00E61B4E">
      <w:pPr>
        <w:sectPr w:rsidR="00E61B4E" w:rsidSect="0061417A">
          <w:headerReference w:type="even" r:id="rId10"/>
          <w:headerReference w:type="default" r:id="rId11"/>
          <w:footerReference w:type="even" r:id="rId12"/>
          <w:footerReference w:type="default" r:id="rId13"/>
          <w:headerReference w:type="first" r:id="rId14"/>
          <w:footerReference w:type="first" r:id="rId15"/>
          <w:pgSz w:w="11907" w:h="16839"/>
          <w:pgMar w:top="1134" w:right="1417" w:bottom="1134" w:left="1417" w:header="709" w:footer="709" w:gutter="0"/>
          <w:pgNumType w:start="0"/>
          <w:cols w:space="720"/>
          <w:docGrid w:linePitch="360"/>
        </w:sectPr>
      </w:pPr>
    </w:p>
    <w:p w14:paraId="0A83748C" w14:textId="4F852352" w:rsidR="00E61B4E" w:rsidRPr="0034755D" w:rsidRDefault="00036C46" w:rsidP="00036C46">
      <w:pPr>
        <w:pStyle w:val="Typedudocument"/>
      </w:pPr>
      <w:bookmarkStart w:id="0" w:name="_GoBack"/>
      <w:bookmarkEnd w:id="0"/>
      <w:proofErr w:type="gramStart"/>
      <w:r w:rsidRPr="00036C46">
        <w:lastRenderedPageBreak/>
        <w:t>COMMISSION REGULATION (EU) …/…</w:t>
      </w:r>
      <w:proofErr w:type="gramEnd"/>
    </w:p>
    <w:p w14:paraId="55C4A3CE" w14:textId="576C856E" w:rsidR="00D363A1" w:rsidRPr="0034755D" w:rsidRDefault="00036C46" w:rsidP="00036C46">
      <w:pPr>
        <w:pStyle w:val="Datedadoption"/>
      </w:pPr>
      <w:proofErr w:type="gramStart"/>
      <w:r w:rsidRPr="00036C46">
        <w:t>of</w:t>
      </w:r>
      <w:proofErr w:type="gramEnd"/>
      <w:r w:rsidRPr="00036C46">
        <w:t xml:space="preserve"> </w:t>
      </w:r>
      <w:r w:rsidRPr="00036C46">
        <w:rPr>
          <w:rStyle w:val="Marker2"/>
        </w:rPr>
        <w:t>XXX</w:t>
      </w:r>
    </w:p>
    <w:p w14:paraId="1BB127E1" w14:textId="51156742" w:rsidR="00D363A1" w:rsidRPr="0034755D" w:rsidRDefault="00036C46" w:rsidP="00036C46">
      <w:pPr>
        <w:pStyle w:val="Titreobjet"/>
      </w:pPr>
      <w:proofErr w:type="gramStart"/>
      <w:r w:rsidRPr="00036C46">
        <w:t>on</w:t>
      </w:r>
      <w:proofErr w:type="gramEnd"/>
      <w:r w:rsidRPr="00036C46">
        <w:t xml:space="preserve"> amending Regulation (EU) 2015/1188 with regards to the ecodesign requirements for local space heaters</w:t>
      </w:r>
    </w:p>
    <w:p w14:paraId="7653A57F" w14:textId="24891240" w:rsidR="00D363A1" w:rsidRPr="0034755D" w:rsidRDefault="00036C46" w:rsidP="00036C46">
      <w:pPr>
        <w:pStyle w:val="IntrtEEE"/>
      </w:pPr>
      <w:r w:rsidRPr="00036C46">
        <w:t>(Text with EEA relevance)</w:t>
      </w:r>
    </w:p>
    <w:p w14:paraId="0200F346" w14:textId="77777777" w:rsidR="00D363A1" w:rsidRPr="0034755D" w:rsidRDefault="00D363A1" w:rsidP="00F43F07">
      <w:pPr>
        <w:pStyle w:val="Institutionquiagit"/>
      </w:pPr>
      <w:r w:rsidRPr="0034755D">
        <w:t>THE EUROPEAN COMMISSION,</w:t>
      </w:r>
    </w:p>
    <w:p w14:paraId="79817AE6" w14:textId="77777777" w:rsidR="00D363A1" w:rsidRPr="0034755D" w:rsidRDefault="00D363A1" w:rsidP="00F43F07">
      <w:r w:rsidRPr="0034755D">
        <w:t>Having regard to</w:t>
      </w:r>
      <w:r w:rsidR="000E13EC" w:rsidRPr="0034755D">
        <w:t xml:space="preserve"> Article 114 of</w:t>
      </w:r>
      <w:r w:rsidRPr="0034755D">
        <w:t xml:space="preserve"> the Treaty on the Functioning of the European Union,</w:t>
      </w:r>
    </w:p>
    <w:p w14:paraId="7754CBC8" w14:textId="6C58501F" w:rsidR="00D363A1" w:rsidRPr="0034755D" w:rsidRDefault="00D363A1" w:rsidP="00F43F07">
      <w:r w:rsidRPr="0034755D">
        <w:t xml:space="preserve">Having regard to </w:t>
      </w:r>
      <w:r w:rsidR="00222CD4" w:rsidRPr="0034755D">
        <w:t>Directive 2009/125/EC of the European Parliament and of the Council of 21 October 2009 establishing a framework for the setting of ecodesign requirements for energy-related products</w:t>
      </w:r>
      <w:r w:rsidRPr="0034755D">
        <w:rPr>
          <w:rStyle w:val="FootnoteReference"/>
        </w:rPr>
        <w:footnoteReference w:id="1"/>
      </w:r>
      <w:r w:rsidRPr="0034755D">
        <w:t xml:space="preserve">, and in particular </w:t>
      </w:r>
      <w:r w:rsidR="009122FA" w:rsidRPr="0034755D">
        <w:t xml:space="preserve">point 1 of </w:t>
      </w:r>
      <w:r w:rsidRPr="0034755D">
        <w:t xml:space="preserve">Article </w:t>
      </w:r>
      <w:r w:rsidR="00222CD4" w:rsidRPr="0034755D">
        <w:t>15</w:t>
      </w:r>
      <w:r w:rsidRPr="0034755D">
        <w:t xml:space="preserve"> thereof,</w:t>
      </w:r>
    </w:p>
    <w:p w14:paraId="16FBB37D" w14:textId="77777777" w:rsidR="00D363A1" w:rsidRPr="0034755D" w:rsidRDefault="00D363A1" w:rsidP="00F43F07">
      <w:r w:rsidRPr="0034755D">
        <w:t>Whereas:</w:t>
      </w:r>
    </w:p>
    <w:p w14:paraId="5121780F" w14:textId="69973677" w:rsidR="00CB43BD" w:rsidRPr="0034755D" w:rsidRDefault="009122FA" w:rsidP="0008182B">
      <w:pPr>
        <w:pStyle w:val="Considrant"/>
        <w:numPr>
          <w:ilvl w:val="0"/>
          <w:numId w:val="5"/>
        </w:numPr>
        <w:rPr>
          <w:color w:val="000000" w:themeColor="text1"/>
        </w:rPr>
      </w:pPr>
      <w:r w:rsidRPr="0034755D">
        <w:rPr>
          <w:color w:val="000000" w:themeColor="text1"/>
        </w:rPr>
        <w:t xml:space="preserve">Pursuant to </w:t>
      </w:r>
      <w:r w:rsidR="00CB43BD" w:rsidRPr="0034755D">
        <w:rPr>
          <w:color w:val="000000" w:themeColor="text1"/>
        </w:rPr>
        <w:t xml:space="preserve">Directive 2009/125/EC the Commission </w:t>
      </w:r>
      <w:r w:rsidRPr="0034755D">
        <w:rPr>
          <w:color w:val="000000" w:themeColor="text1"/>
        </w:rPr>
        <w:t>should</w:t>
      </w:r>
      <w:r w:rsidR="00CB43BD" w:rsidRPr="0034755D">
        <w:rPr>
          <w:color w:val="000000" w:themeColor="text1"/>
        </w:rPr>
        <w:t xml:space="preserve"> set ecodesign requirements for energy-related products </w:t>
      </w:r>
      <w:r w:rsidRPr="0034755D">
        <w:rPr>
          <w:color w:val="000000" w:themeColor="text1"/>
        </w:rPr>
        <w:t>which account for</w:t>
      </w:r>
      <w:r w:rsidR="00CB43BD" w:rsidRPr="0034755D">
        <w:rPr>
          <w:color w:val="000000" w:themeColor="text1"/>
        </w:rPr>
        <w:t xml:space="preserve"> significant volumes of sales and trade</w:t>
      </w:r>
      <w:r w:rsidRPr="0034755D">
        <w:rPr>
          <w:color w:val="000000" w:themeColor="text1"/>
        </w:rPr>
        <w:t xml:space="preserve"> in the Union and which have </w:t>
      </w:r>
      <w:r w:rsidR="00CB43BD" w:rsidRPr="0034755D">
        <w:rPr>
          <w:color w:val="000000" w:themeColor="text1"/>
        </w:rPr>
        <w:t>a significant environmental impact and present significant potential for improvement through design in terms of their environmental impact, without entailing excessive costs.</w:t>
      </w:r>
    </w:p>
    <w:p w14:paraId="70CC0FEE" w14:textId="2416431F" w:rsidR="009122FA" w:rsidRPr="0034755D" w:rsidRDefault="009122FA" w:rsidP="009122FA">
      <w:pPr>
        <w:pStyle w:val="Considrant"/>
      </w:pPr>
      <w:r w:rsidRPr="0034755D">
        <w:rPr>
          <w:color w:val="000000" w:themeColor="text1"/>
        </w:rPr>
        <w:t>The Communication from the Commission COM(2016)77</w:t>
      </w:r>
      <w:r w:rsidRPr="0034755D">
        <w:t>3</w:t>
      </w:r>
      <w:r w:rsidRPr="0034755D">
        <w:rPr>
          <w:rStyle w:val="FootnoteReference"/>
          <w:szCs w:val="24"/>
        </w:rPr>
        <w:footnoteReference w:id="2"/>
      </w:r>
      <w:r w:rsidRPr="0034755D">
        <w:rPr>
          <w:color w:val="000000" w:themeColor="text1"/>
        </w:rPr>
        <w:t xml:space="preserve"> (ecodesign working plan) established by the Commission in application of point 1 of Article 16 of Directive 2009/125/EC sets out the working priorities under the ecodesign and energy labelling framework for the period 2016-2019. </w:t>
      </w:r>
      <w:r w:rsidR="00476372">
        <w:rPr>
          <w:color w:val="000000" w:themeColor="text1"/>
        </w:rPr>
        <w:t>Local space heaters</w:t>
      </w:r>
      <w:r w:rsidRPr="0034755D">
        <w:rPr>
          <w:color w:val="000000" w:themeColor="text1"/>
        </w:rPr>
        <w:t xml:space="preserve"> are among the energy-related product groups to be considered as priorities for the undertaking of preparatory studies and eventual adoption of measures.</w:t>
      </w:r>
    </w:p>
    <w:p w14:paraId="3B25D90D" w14:textId="6EED4686" w:rsidR="009122FA" w:rsidRPr="0034755D" w:rsidRDefault="009122FA" w:rsidP="009122FA">
      <w:pPr>
        <w:pStyle w:val="Considrant"/>
      </w:pPr>
      <w:r w:rsidRPr="0034755D">
        <w:t xml:space="preserve">Measures from the ecodesign working plan have an estimated potential to deliver a total in excess of 260 TWh of annual final energy savings in 2030, which is equivalent to reducing greenhouse gas emissions by approximately 100 million tonnes per year in 2030. </w:t>
      </w:r>
      <w:proofErr w:type="gramStart"/>
      <w:r w:rsidR="00476372">
        <w:t>Local space heaters</w:t>
      </w:r>
      <w:r w:rsidRPr="0034755D">
        <w:t xml:space="preserve"> is</w:t>
      </w:r>
      <w:proofErr w:type="gramEnd"/>
      <w:r w:rsidRPr="0034755D">
        <w:t xml:space="preserve"> one of the product groups listed in the Working Plan.</w:t>
      </w:r>
    </w:p>
    <w:p w14:paraId="3DABF6EA" w14:textId="6EDE76DF" w:rsidR="0099240F" w:rsidRPr="0034755D" w:rsidRDefault="00FC4192" w:rsidP="00F43F07">
      <w:pPr>
        <w:pStyle w:val="Considrant"/>
        <w:rPr>
          <w:lang w:eastAsia="de-DE"/>
        </w:rPr>
      </w:pPr>
      <w:r w:rsidRPr="0034755D">
        <w:t xml:space="preserve">The Commission established </w:t>
      </w:r>
      <w:r w:rsidR="006637BA" w:rsidRPr="0034755D">
        <w:t xml:space="preserve">ecodesign requirements </w:t>
      </w:r>
      <w:r w:rsidRPr="0034755D">
        <w:t xml:space="preserve">for </w:t>
      </w:r>
      <w:r w:rsidR="0022292F" w:rsidRPr="0034755D">
        <w:t xml:space="preserve">the </w:t>
      </w:r>
      <w:r w:rsidR="00476372">
        <w:t>local space heaters</w:t>
      </w:r>
      <w:r w:rsidR="0022292F" w:rsidRPr="0034755D">
        <w:t xml:space="preserve"> </w:t>
      </w:r>
      <w:r w:rsidR="0050174F" w:rsidRPr="0034755D">
        <w:t>in</w:t>
      </w:r>
      <w:r w:rsidR="006637BA" w:rsidRPr="0034755D">
        <w:t xml:space="preserve"> Commission </w:t>
      </w:r>
      <w:r w:rsidR="006637BA" w:rsidRPr="0034755D">
        <w:rPr>
          <w:color w:val="000000" w:themeColor="text1"/>
        </w:rPr>
        <w:t xml:space="preserve">Regulation (EU) </w:t>
      </w:r>
      <w:r w:rsidR="00476372">
        <w:rPr>
          <w:color w:val="000000" w:themeColor="text1"/>
        </w:rPr>
        <w:t>2015/1188</w:t>
      </w:r>
      <w:r w:rsidR="00F533D7" w:rsidRPr="0034755D">
        <w:rPr>
          <w:rStyle w:val="FootnoteReference"/>
          <w:color w:val="000000" w:themeColor="text1"/>
        </w:rPr>
        <w:footnoteReference w:id="3"/>
      </w:r>
      <w:r w:rsidR="009122FA" w:rsidRPr="0034755D">
        <w:rPr>
          <w:color w:val="000000" w:themeColor="text1"/>
        </w:rPr>
        <w:t xml:space="preserve"> and pursuant to that </w:t>
      </w:r>
      <w:proofErr w:type="gramStart"/>
      <w:r w:rsidR="009122FA" w:rsidRPr="0034755D">
        <w:rPr>
          <w:color w:val="000000" w:themeColor="text1"/>
        </w:rPr>
        <w:t>Regulation,</w:t>
      </w:r>
      <w:proofErr w:type="gramEnd"/>
      <w:r w:rsidR="009122FA" w:rsidRPr="0034755D">
        <w:rPr>
          <w:color w:val="000000" w:themeColor="text1"/>
        </w:rPr>
        <w:t xml:space="preserve"> the Commission should regularly review the Regulation in the light </w:t>
      </w:r>
      <w:r w:rsidR="0099240F" w:rsidRPr="0034755D">
        <w:rPr>
          <w:lang w:eastAsia="de-DE"/>
        </w:rPr>
        <w:t>of technological progress.</w:t>
      </w:r>
    </w:p>
    <w:p w14:paraId="092C47BA" w14:textId="700300B5" w:rsidR="0099240F" w:rsidRPr="0034755D" w:rsidRDefault="0099240F" w:rsidP="0099240F">
      <w:pPr>
        <w:pStyle w:val="Considrant"/>
      </w:pPr>
      <w:r w:rsidRPr="0034755D">
        <w:t xml:space="preserve">The Commission has reviewed </w:t>
      </w:r>
      <w:r w:rsidR="001E67AD" w:rsidRPr="0034755D">
        <w:t xml:space="preserve">Commission </w:t>
      </w:r>
      <w:r w:rsidRPr="0034755D">
        <w:t xml:space="preserve">Regulation (EU) </w:t>
      </w:r>
      <w:r w:rsidR="00476372">
        <w:rPr>
          <w:color w:val="000000" w:themeColor="text1"/>
        </w:rPr>
        <w:t>2015/1188</w:t>
      </w:r>
      <w:r w:rsidR="0022292F" w:rsidRPr="0034755D">
        <w:rPr>
          <w:color w:val="000000" w:themeColor="text1"/>
        </w:rPr>
        <w:t xml:space="preserve"> </w:t>
      </w:r>
      <w:r w:rsidRPr="0034755D">
        <w:t xml:space="preserve">and analysed </w:t>
      </w:r>
      <w:r w:rsidR="0050174F" w:rsidRPr="0034755D">
        <w:t xml:space="preserve">the </w:t>
      </w:r>
      <w:r w:rsidRPr="0034755D">
        <w:t xml:space="preserve">technical, environmental and economic aspects of </w:t>
      </w:r>
      <w:r w:rsidR="00476372">
        <w:t>local space heaters</w:t>
      </w:r>
      <w:r w:rsidR="0022292F" w:rsidRPr="0034755D">
        <w:t xml:space="preserve"> </w:t>
      </w:r>
      <w:r w:rsidRPr="0034755D">
        <w:t xml:space="preserve">as well as </w:t>
      </w:r>
      <w:proofErr w:type="gramStart"/>
      <w:r w:rsidRPr="0034755D">
        <w:t>real-life</w:t>
      </w:r>
      <w:proofErr w:type="gramEnd"/>
      <w:r w:rsidRPr="0034755D">
        <w:t xml:space="preserve"> user behaviour. The review was </w:t>
      </w:r>
      <w:r w:rsidR="009122FA" w:rsidRPr="0034755D">
        <w:t>carried out</w:t>
      </w:r>
      <w:r w:rsidRPr="0034755D">
        <w:t xml:space="preserve"> in close cooperation with stakeholders and interested parties from the Union and third countries. The results of the review were made public and presented to the Consultation Forum established by Article 18 of Directive 2009/125/EC.</w:t>
      </w:r>
    </w:p>
    <w:p w14:paraId="26D140C2" w14:textId="02457C59" w:rsidR="00D25F6B" w:rsidRDefault="003A633C" w:rsidP="00F43F07">
      <w:pPr>
        <w:pStyle w:val="Considrant"/>
      </w:pPr>
      <w:r w:rsidRPr="0034755D">
        <w:lastRenderedPageBreak/>
        <w:t xml:space="preserve">The review study shows the </w:t>
      </w:r>
      <w:r w:rsidR="00476372">
        <w:t>need to clar</w:t>
      </w:r>
      <w:r w:rsidR="00D25F6B">
        <w:t>ify</w:t>
      </w:r>
      <w:r w:rsidR="002C1F6E">
        <w:t xml:space="preserve"> and update</w:t>
      </w:r>
      <w:r w:rsidR="00D25F6B">
        <w:t xml:space="preserve"> the scope of Regulation (EU) 2015/1188. </w:t>
      </w:r>
    </w:p>
    <w:p w14:paraId="346D588C" w14:textId="41F3888B" w:rsidR="00D25F6B" w:rsidRPr="00D25F6B" w:rsidRDefault="0099240F" w:rsidP="00F43F07">
      <w:pPr>
        <w:pStyle w:val="Considrant"/>
      </w:pPr>
      <w:r w:rsidRPr="00D25F6B">
        <w:t xml:space="preserve">The annual </w:t>
      </w:r>
      <w:r w:rsidR="00667CCB" w:rsidRPr="00D25F6B">
        <w:t xml:space="preserve">final </w:t>
      </w:r>
      <w:r w:rsidR="0050174F" w:rsidRPr="00D25F6B">
        <w:t>energy</w:t>
      </w:r>
      <w:r w:rsidRPr="00D25F6B">
        <w:t xml:space="preserve"> consumption of products subject to this Regulation in the </w:t>
      </w:r>
      <w:r w:rsidR="0050174F" w:rsidRPr="00D25F6B">
        <w:t>Union</w:t>
      </w:r>
      <w:r w:rsidRPr="00D25F6B">
        <w:t xml:space="preserve"> was estimated at</w:t>
      </w:r>
      <w:r w:rsidR="00667CCB" w:rsidRPr="00D25F6B">
        <w:t xml:space="preserve"> </w:t>
      </w:r>
      <w:r w:rsidR="00D25F6B" w:rsidRPr="00D25F6B">
        <w:t>673 PJ (40</w:t>
      </w:r>
      <w:proofErr w:type="gramStart"/>
      <w:r w:rsidR="00D25F6B" w:rsidRPr="00D25F6B">
        <w:t>,0</w:t>
      </w:r>
      <w:proofErr w:type="gramEnd"/>
      <w:r w:rsidR="00D25F6B" w:rsidRPr="00D25F6B">
        <w:t xml:space="preserve"> Mtoe)</w:t>
      </w:r>
      <w:r w:rsidR="00667CCB" w:rsidRPr="00D25F6B">
        <w:t xml:space="preserve"> in the EU in 201</w:t>
      </w:r>
      <w:r w:rsidR="00D25F6B" w:rsidRPr="00D25F6B">
        <w:t>0</w:t>
      </w:r>
      <w:r w:rsidR="00667CCB" w:rsidRPr="00D25F6B">
        <w:t xml:space="preserve">, corresponding to </w:t>
      </w:r>
      <w:r w:rsidR="00D25F6B" w:rsidRPr="00D25F6B">
        <w:t>75,3</w:t>
      </w:r>
      <w:r w:rsidR="00BF03B0" w:rsidRPr="00D25F6B">
        <w:t xml:space="preserve"> </w:t>
      </w:r>
      <w:r w:rsidRPr="00D25F6B">
        <w:t xml:space="preserve">million tonnes of CO2 equivalent. </w:t>
      </w:r>
      <w:r w:rsidR="00667CCB" w:rsidRPr="00D25F6B">
        <w:t>I</w:t>
      </w:r>
      <w:r w:rsidRPr="00D25F6B">
        <w:t xml:space="preserve">n a business as usual scenario </w:t>
      </w:r>
      <w:r w:rsidR="00667CCB" w:rsidRPr="00D25F6B">
        <w:t xml:space="preserve">the energy consumption </w:t>
      </w:r>
      <w:r w:rsidR="008B219D" w:rsidRPr="00D25F6B">
        <w:t>is estimated to</w:t>
      </w:r>
      <w:r w:rsidRPr="00D25F6B">
        <w:t xml:space="preserve"> </w:t>
      </w:r>
      <w:r w:rsidR="00667CCB" w:rsidRPr="00D25F6B">
        <w:t>increase to</w:t>
      </w:r>
      <w:r w:rsidR="008B219D" w:rsidRPr="00D25F6B">
        <w:t xml:space="preserve"> </w:t>
      </w:r>
      <w:r w:rsidR="00D25F6B" w:rsidRPr="00D25F6B">
        <w:t>929</w:t>
      </w:r>
      <w:proofErr w:type="gramStart"/>
      <w:r w:rsidR="00D25F6B" w:rsidRPr="00D25F6B">
        <w:t>,1</w:t>
      </w:r>
      <w:proofErr w:type="gramEnd"/>
      <w:r w:rsidR="00D25F6B" w:rsidRPr="00D25F6B">
        <w:t xml:space="preserve"> PJ (43,1 Mtoe) in the EU in 2030 and 765,9 PJ (33,4 Mtoe) in the EU in 2040</w:t>
      </w:r>
      <w:r w:rsidRPr="00D25F6B">
        <w:t>.</w:t>
      </w:r>
      <w:r w:rsidR="00BF03B0" w:rsidRPr="00D25F6B">
        <w:t xml:space="preserve"> </w:t>
      </w:r>
    </w:p>
    <w:p w14:paraId="22567CCD" w14:textId="29E9DC6C" w:rsidR="006637BA" w:rsidRPr="0034755D" w:rsidRDefault="006637BA" w:rsidP="008B219D">
      <w:pPr>
        <w:pStyle w:val="Considrant"/>
      </w:pPr>
      <w:r w:rsidRPr="0034755D">
        <w:t xml:space="preserve">The environmental aspects of </w:t>
      </w:r>
      <w:r w:rsidR="00D25F6B">
        <w:t>local space heaters</w:t>
      </w:r>
      <w:r w:rsidR="0050174F" w:rsidRPr="0034755D">
        <w:t xml:space="preserve"> </w:t>
      </w:r>
      <w:r w:rsidRPr="0034755D">
        <w:t>have been identified as significant for the purposes of this Regulation are</w:t>
      </w:r>
      <w:r w:rsidR="003B3685" w:rsidRPr="0034755D">
        <w:t xml:space="preserve"> </w:t>
      </w:r>
      <w:r w:rsidR="008B219D" w:rsidRPr="0034755D">
        <w:rPr>
          <w:color w:val="000000" w:themeColor="text1"/>
        </w:rPr>
        <w:t>energy use in the use-phase</w:t>
      </w:r>
      <w:r w:rsidR="008B219D" w:rsidRPr="0034755D">
        <w:t>.</w:t>
      </w:r>
    </w:p>
    <w:p w14:paraId="486BA02F" w14:textId="4D030F28" w:rsidR="006637BA" w:rsidRPr="0034755D" w:rsidRDefault="0050174F" w:rsidP="006637BA">
      <w:pPr>
        <w:pStyle w:val="Considrant"/>
      </w:pPr>
      <w:r w:rsidRPr="0034755D">
        <w:t>To improve the effectiveness and credibility of the Regulation</w:t>
      </w:r>
      <w:r w:rsidR="00DC4B5A" w:rsidRPr="0034755D">
        <w:t xml:space="preserve"> and to protect consumers</w:t>
      </w:r>
      <w:r w:rsidRPr="0034755D">
        <w:t>, p</w:t>
      </w:r>
      <w:r w:rsidR="003C683B" w:rsidRPr="0034755D">
        <w:t xml:space="preserve">roducts </w:t>
      </w:r>
      <w:r w:rsidR="00940765" w:rsidRPr="0034755D">
        <w:t xml:space="preserve">that </w:t>
      </w:r>
      <w:r w:rsidR="003C683B" w:rsidRPr="0034755D">
        <w:t>automatically alter</w:t>
      </w:r>
      <w:r w:rsidR="00940765" w:rsidRPr="0034755D">
        <w:t xml:space="preserve"> their</w:t>
      </w:r>
      <w:r w:rsidR="003C683B" w:rsidRPr="0034755D">
        <w:t xml:space="preserve"> performance in test conditions to improve the declared parameters </w:t>
      </w:r>
      <w:r w:rsidRPr="0034755D">
        <w:t>should be prohibited</w:t>
      </w:r>
      <w:r w:rsidR="006637BA" w:rsidRPr="0034755D">
        <w:t xml:space="preserve">. </w:t>
      </w:r>
    </w:p>
    <w:p w14:paraId="19F48359" w14:textId="77777777" w:rsidR="0045302D" w:rsidRPr="0034755D" w:rsidRDefault="006637BA" w:rsidP="006637BA">
      <w:pPr>
        <w:pStyle w:val="Considrant"/>
      </w:pPr>
      <w:r w:rsidRPr="0034755D">
        <w:rPr>
          <w:color w:val="000000" w:themeColor="text1"/>
        </w:rPr>
        <w:t>A review of this Regulation should assess the appropriateness and effectiveness of its provisions in achieving its goals. The timing of the review should be sufficient for all provisions to be implemented and show an effect on the market</w:t>
      </w:r>
      <w:r w:rsidR="0045302D" w:rsidRPr="0034755D">
        <w:t>.</w:t>
      </w:r>
    </w:p>
    <w:p w14:paraId="77AE0892" w14:textId="77777777" w:rsidR="00940765" w:rsidRPr="0034755D" w:rsidRDefault="006637BA" w:rsidP="00940765">
      <w:pPr>
        <w:pStyle w:val="Considrant"/>
      </w:pPr>
      <w:r w:rsidRPr="0034755D">
        <w:t>The measures provided for in this Regulation are in accordance with the opinion of the Committee established by Article 19(1) of Directive 2009/125/EC.</w:t>
      </w:r>
    </w:p>
    <w:p w14:paraId="6A8BB742" w14:textId="77777777" w:rsidR="00D363A1" w:rsidRPr="0034755D" w:rsidRDefault="00D363A1" w:rsidP="00F43F07">
      <w:pPr>
        <w:pStyle w:val="Formuledadoption"/>
      </w:pPr>
      <w:r w:rsidRPr="0034755D">
        <w:t>HAS ADOPTED THIS REGULATION:</w:t>
      </w:r>
    </w:p>
    <w:p w14:paraId="2A69EEAB" w14:textId="78B01A31" w:rsidR="00F07EA7" w:rsidRPr="0034755D" w:rsidRDefault="00D363A1" w:rsidP="00E61B4E">
      <w:pPr>
        <w:pStyle w:val="Titrearticle"/>
        <w:rPr>
          <w:b/>
        </w:rPr>
      </w:pPr>
      <w:r w:rsidRPr="0034755D">
        <w:t xml:space="preserve">Article </w:t>
      </w:r>
      <w:proofErr w:type="gramStart"/>
      <w:r w:rsidRPr="0034755D">
        <w:t>1</w:t>
      </w:r>
      <w:r w:rsidR="00E61B4E" w:rsidRPr="0034755D">
        <w:br/>
      </w:r>
      <w:r w:rsidR="004A0CEC">
        <w:rPr>
          <w:b/>
          <w:i w:val="0"/>
        </w:rPr>
        <w:t>Amendments</w:t>
      </w:r>
      <w:proofErr w:type="gramEnd"/>
      <w:r w:rsidR="004A0CEC">
        <w:rPr>
          <w:b/>
          <w:i w:val="0"/>
        </w:rPr>
        <w:t xml:space="preserve"> to Regulation (EU) 2015/1188</w:t>
      </w:r>
    </w:p>
    <w:p w14:paraId="5AAB29CB" w14:textId="77777777" w:rsidR="000B5391" w:rsidRDefault="004A0CEC" w:rsidP="004A0CEC">
      <w:pPr>
        <w:pStyle w:val="Titrearticle"/>
        <w:jc w:val="left"/>
        <w:rPr>
          <w:i w:val="0"/>
        </w:rPr>
      </w:pPr>
      <w:r w:rsidRPr="004A0CEC">
        <w:rPr>
          <w:i w:val="0"/>
        </w:rPr>
        <w:t xml:space="preserve">Regulation (EC) No 1275/2008 is amended </w:t>
      </w:r>
      <w:r w:rsidR="000B5391">
        <w:rPr>
          <w:i w:val="0"/>
        </w:rPr>
        <w:t>as follows:</w:t>
      </w:r>
    </w:p>
    <w:p w14:paraId="58323CB6" w14:textId="78B55665" w:rsidR="00BF529D" w:rsidRDefault="00BF529D" w:rsidP="000B5391">
      <w:pPr>
        <w:pStyle w:val="Point0number"/>
      </w:pPr>
      <w:r>
        <w:t>The title is replaced by the following:</w:t>
      </w:r>
    </w:p>
    <w:p w14:paraId="5FC0501C" w14:textId="5F570BC0" w:rsidR="00BF529D" w:rsidRDefault="00BF529D" w:rsidP="00BF529D">
      <w:pPr>
        <w:pStyle w:val="Text1"/>
      </w:pPr>
      <w:r>
        <w:t>‘</w:t>
      </w:r>
      <w:r w:rsidRPr="00BF529D">
        <w:rPr>
          <w:b/>
        </w:rPr>
        <w:t>Commission Regulation (EU) 2015/1188 of 28 April 2015 laying down ecodesign requirements for local space heaters pursuant to Directive 2009/125/EC of the European Parliament and of the Council</w:t>
      </w:r>
      <w:r>
        <w:t>’</w:t>
      </w:r>
      <w:r w:rsidR="00021B8C">
        <w:t>;</w:t>
      </w:r>
    </w:p>
    <w:p w14:paraId="5FC58BCD" w14:textId="67703F1D" w:rsidR="000B5391" w:rsidRDefault="000B5391" w:rsidP="000B5391">
      <w:pPr>
        <w:pStyle w:val="Point0number"/>
      </w:pPr>
      <w:r>
        <w:t>Article 1 is replaced by the following:</w:t>
      </w:r>
    </w:p>
    <w:p w14:paraId="3C247E60" w14:textId="44AD76C5" w:rsidR="00D637EE" w:rsidRPr="008F4F37" w:rsidRDefault="00D637EE" w:rsidP="008F4F37">
      <w:pPr>
        <w:pStyle w:val="Text1"/>
        <w:jc w:val="center"/>
        <w:rPr>
          <w:iCs/>
          <w:szCs w:val="24"/>
        </w:rPr>
      </w:pPr>
      <w:r>
        <w:t>‘</w:t>
      </w:r>
      <w:r w:rsidRPr="008F4F37">
        <w:rPr>
          <w:iCs/>
          <w:szCs w:val="24"/>
        </w:rPr>
        <w:t>Article 1</w:t>
      </w:r>
    </w:p>
    <w:p w14:paraId="4801E8C3" w14:textId="3DE2AD70" w:rsidR="00D637EE" w:rsidRDefault="00D637EE" w:rsidP="008F4F37">
      <w:pPr>
        <w:pStyle w:val="Text1"/>
        <w:jc w:val="center"/>
      </w:pPr>
      <w:r w:rsidRPr="00D637EE">
        <w:rPr>
          <w:b/>
          <w:bCs/>
          <w:szCs w:val="24"/>
        </w:rPr>
        <w:t>Subject matter and scope</w:t>
      </w:r>
    </w:p>
    <w:p w14:paraId="2474BF87" w14:textId="48002114" w:rsidR="00D637EE" w:rsidRDefault="00D637EE" w:rsidP="00D637EE">
      <w:pPr>
        <w:pStyle w:val="Text1"/>
      </w:pPr>
      <w:r>
        <w:t>This Regulation establishes ecodesign requirements for the placing on the market and putting into service of domestic local space heaters with a nominal heat output of 50 kW or less and commercial local space heaters with a nominal heat output of the product or of a single segment of 300 kW or less.</w:t>
      </w:r>
    </w:p>
    <w:p w14:paraId="12C562C6" w14:textId="74B65A7D" w:rsidR="00D637EE" w:rsidRDefault="00D637EE" w:rsidP="00D637EE">
      <w:pPr>
        <w:pStyle w:val="Text1"/>
      </w:pPr>
      <w:r>
        <w:t>This Regulation shall not apply to:</w:t>
      </w:r>
    </w:p>
    <w:p w14:paraId="12BA7170" w14:textId="6431924B" w:rsidR="00D637EE" w:rsidRPr="00D637EE" w:rsidRDefault="00D637EE" w:rsidP="0008182B">
      <w:pPr>
        <w:pStyle w:val="Point1letter"/>
        <w:numPr>
          <w:ilvl w:val="3"/>
          <w:numId w:val="24"/>
        </w:numPr>
        <w:rPr>
          <w:szCs w:val="24"/>
        </w:rPr>
      </w:pPr>
      <w:r w:rsidRPr="00D637EE">
        <w:rPr>
          <w:szCs w:val="24"/>
        </w:rPr>
        <w:t>local space heaters using a vapour compression cycle or sorption cycle for the generation of heat driven by electric compressors or fuel;</w:t>
      </w:r>
    </w:p>
    <w:p w14:paraId="7B321956" w14:textId="78107D12" w:rsidR="00BF529D" w:rsidRPr="00D637EE" w:rsidRDefault="00D637EE" w:rsidP="0008182B">
      <w:pPr>
        <w:pStyle w:val="Point1letter"/>
        <w:numPr>
          <w:ilvl w:val="3"/>
          <w:numId w:val="24"/>
        </w:numPr>
        <w:rPr>
          <w:szCs w:val="24"/>
        </w:rPr>
      </w:pPr>
      <w:r w:rsidRPr="00D637EE">
        <w:rPr>
          <w:szCs w:val="24"/>
        </w:rPr>
        <w:t>local space heaters that are specified for outdoor use only;</w:t>
      </w:r>
    </w:p>
    <w:p w14:paraId="2B9B1A18" w14:textId="79DC16DB" w:rsidR="00D637EE" w:rsidRPr="00D637EE" w:rsidRDefault="00D637EE" w:rsidP="0008182B">
      <w:pPr>
        <w:pStyle w:val="Point1letter"/>
        <w:numPr>
          <w:ilvl w:val="3"/>
          <w:numId w:val="24"/>
        </w:numPr>
        <w:rPr>
          <w:szCs w:val="24"/>
        </w:rPr>
      </w:pPr>
      <w:r w:rsidRPr="00D637EE">
        <w:rPr>
          <w:szCs w:val="24"/>
        </w:rPr>
        <w:t>local space heaters of which the direct heat output is less than 6 % of the combined direct and indirect heat output at nominal heat output;</w:t>
      </w:r>
    </w:p>
    <w:p w14:paraId="0B65D024" w14:textId="75E22929" w:rsidR="00D637EE" w:rsidRPr="00D637EE" w:rsidRDefault="00D637EE" w:rsidP="0008182B">
      <w:pPr>
        <w:pStyle w:val="Point1letter"/>
        <w:numPr>
          <w:ilvl w:val="3"/>
          <w:numId w:val="24"/>
        </w:numPr>
        <w:rPr>
          <w:szCs w:val="24"/>
        </w:rPr>
      </w:pPr>
      <w:r w:rsidRPr="00D637EE">
        <w:rPr>
          <w:szCs w:val="24"/>
        </w:rPr>
        <w:t>air heating products;</w:t>
      </w:r>
    </w:p>
    <w:p w14:paraId="4D4DD131" w14:textId="77777777" w:rsidR="00D637EE" w:rsidRDefault="00D637EE" w:rsidP="0008182B">
      <w:pPr>
        <w:pStyle w:val="Point1letter"/>
        <w:numPr>
          <w:ilvl w:val="3"/>
          <w:numId w:val="24"/>
        </w:numPr>
        <w:rPr>
          <w:szCs w:val="24"/>
        </w:rPr>
      </w:pPr>
      <w:r w:rsidRPr="00D637EE">
        <w:rPr>
          <w:szCs w:val="24"/>
        </w:rPr>
        <w:t>saun</w:t>
      </w:r>
      <w:r>
        <w:rPr>
          <w:szCs w:val="24"/>
        </w:rPr>
        <w:t>a stoves;</w:t>
      </w:r>
    </w:p>
    <w:p w14:paraId="00520F7F" w14:textId="3528704C" w:rsidR="00D637EE" w:rsidRPr="00D637EE" w:rsidRDefault="00D637EE" w:rsidP="0008182B">
      <w:pPr>
        <w:pStyle w:val="Point1letter"/>
        <w:numPr>
          <w:ilvl w:val="3"/>
          <w:numId w:val="24"/>
        </w:numPr>
        <w:rPr>
          <w:szCs w:val="24"/>
        </w:rPr>
      </w:pPr>
      <w:proofErr w:type="gramStart"/>
      <w:r>
        <w:rPr>
          <w:szCs w:val="24"/>
        </w:rPr>
        <w:lastRenderedPageBreak/>
        <w:t>cooking</w:t>
      </w:r>
      <w:proofErr w:type="gramEnd"/>
      <w:r>
        <w:rPr>
          <w:szCs w:val="24"/>
        </w:rPr>
        <w:t xml:space="preserve"> appliances.’;</w:t>
      </w:r>
    </w:p>
    <w:p w14:paraId="761E2D00" w14:textId="7E22A2FD" w:rsidR="00D637EE" w:rsidRDefault="00D637EE" w:rsidP="000B5391">
      <w:pPr>
        <w:pStyle w:val="Point0number"/>
      </w:pPr>
      <w:r>
        <w:t>Article 2</w:t>
      </w:r>
      <w:r w:rsidR="00021B8C">
        <w:t xml:space="preserve"> is amended as follows</w:t>
      </w:r>
      <w:r>
        <w:t xml:space="preserve">: </w:t>
      </w:r>
    </w:p>
    <w:p w14:paraId="4F055922" w14:textId="54226342" w:rsidR="00D637EE" w:rsidRDefault="007E514D" w:rsidP="0008182B">
      <w:pPr>
        <w:pStyle w:val="Point1letter"/>
        <w:numPr>
          <w:ilvl w:val="3"/>
          <w:numId w:val="25"/>
        </w:numPr>
      </w:pPr>
      <w:r>
        <w:t xml:space="preserve">definition </w:t>
      </w:r>
      <w:r w:rsidR="00D637EE">
        <w:t>(1) is replaced by the following:</w:t>
      </w:r>
    </w:p>
    <w:p w14:paraId="2838BE02" w14:textId="04F6B9F3" w:rsidR="00D637EE" w:rsidRDefault="00D637EE" w:rsidP="00CA2B06">
      <w:pPr>
        <w:pStyle w:val="Text2"/>
        <w:ind w:left="2160" w:hanging="743"/>
      </w:pPr>
      <w:r>
        <w:t>‘(1)</w:t>
      </w:r>
      <w:r w:rsidR="00CA2B06">
        <w:tab/>
      </w:r>
      <w:r w:rsidRPr="00D637EE">
        <w:t>‘local space heater’ means a device that is</w:t>
      </w:r>
      <w:r w:rsidR="00CA2B06">
        <w:t xml:space="preserve"> equipped with one or more heat</w:t>
      </w:r>
      <w:r w:rsidR="006E6EFA">
        <w:t xml:space="preserve"> </w:t>
      </w:r>
      <w:r w:rsidRPr="00D637EE">
        <w:t>generators with the purpose of converting electricity or gaseous or liquid fuels directly into heat to contribute to a certain level of human thermal comfort in the enclosed space in which it is situated by direct heat transfer, possibly combined with a heat output to other spaces o</w:t>
      </w:r>
      <w:r>
        <w:t>r with heat transfer to a fluid;’</w:t>
      </w:r>
      <w:r w:rsidR="00021B8C">
        <w:t>;</w:t>
      </w:r>
    </w:p>
    <w:p w14:paraId="3E80ACE4" w14:textId="14D40B70" w:rsidR="00C7211C" w:rsidRDefault="007E514D" w:rsidP="00C7211C">
      <w:pPr>
        <w:pStyle w:val="Point1letter"/>
      </w:pPr>
      <w:r>
        <w:t xml:space="preserve">definition </w:t>
      </w:r>
      <w:r w:rsidR="00C7211C">
        <w:t>(6) is replaced by the following:</w:t>
      </w:r>
    </w:p>
    <w:p w14:paraId="3175B529" w14:textId="16ECD97E" w:rsidR="00C7211C" w:rsidRDefault="00C7211C" w:rsidP="00CA2B06">
      <w:pPr>
        <w:pStyle w:val="Text2"/>
        <w:ind w:left="2160" w:hanging="743"/>
      </w:pPr>
      <w:r>
        <w:t>‘</w:t>
      </w:r>
      <w:r w:rsidRPr="000245B6">
        <w:t>(6)</w:t>
      </w:r>
      <w:r w:rsidR="00CA2B06">
        <w:tab/>
      </w:r>
      <w:r w:rsidRPr="000245B6">
        <w:t>‘commercial local space heater’ means either a luminous commercial local space heater or tube commercial local space heater;</w:t>
      </w:r>
      <w:r>
        <w:t>’</w:t>
      </w:r>
      <w:r w:rsidR="00021B8C">
        <w:t>;</w:t>
      </w:r>
    </w:p>
    <w:p w14:paraId="21CE993E" w14:textId="5E4FAE41" w:rsidR="00D21380" w:rsidRPr="007E514D" w:rsidRDefault="007E514D" w:rsidP="007E514D">
      <w:pPr>
        <w:pStyle w:val="Point1letter"/>
      </w:pPr>
      <w:r>
        <w:t>definition</w:t>
      </w:r>
      <w:r w:rsidRPr="007E514D">
        <w:t xml:space="preserve"> </w:t>
      </w:r>
      <w:r w:rsidR="00D21380" w:rsidRPr="007E514D">
        <w:t>(7) is replaced by the following:</w:t>
      </w:r>
    </w:p>
    <w:p w14:paraId="198D2383" w14:textId="094533EE" w:rsidR="00D21380" w:rsidRPr="00CA2B06" w:rsidRDefault="00D21380" w:rsidP="00CA2B06">
      <w:pPr>
        <w:pStyle w:val="Text2"/>
        <w:ind w:left="2160" w:hanging="743"/>
      </w:pPr>
      <w:bookmarkStart w:id="1" w:name="_Hlk5783736"/>
      <w:r w:rsidRPr="00CA2B06">
        <w:t xml:space="preserve">‘(7) </w:t>
      </w:r>
      <w:r w:rsidR="00CA2B06">
        <w:tab/>
      </w:r>
      <w:r w:rsidRPr="00CA2B06">
        <w:t>‘</w:t>
      </w:r>
      <w:r w:rsidR="00D1078E">
        <w:t xml:space="preserve">open combustion, </w:t>
      </w:r>
      <w:r w:rsidRPr="00CA2B06">
        <w:t>open fronted local space heater’ means a local space heater, using gaseous or liquid fuels, of which the fire bed and combustion gases are not sealed from the space in which the product is fitted, where the air intake cannot be adjusted and which is sealed to a chimney or fireplace opening or requires a flue duct for the evacuation of products of combustion;’</w:t>
      </w:r>
      <w:r w:rsidR="00021B8C" w:rsidRPr="00CA2B06">
        <w:t>;</w:t>
      </w:r>
    </w:p>
    <w:bookmarkEnd w:id="1"/>
    <w:p w14:paraId="3D47EEEA" w14:textId="6277126D" w:rsidR="00D21380" w:rsidRPr="007E514D" w:rsidRDefault="007E514D" w:rsidP="007E514D">
      <w:pPr>
        <w:pStyle w:val="Point1letter"/>
      </w:pPr>
      <w:r>
        <w:t>definition</w:t>
      </w:r>
      <w:r w:rsidRPr="007E514D">
        <w:t xml:space="preserve"> </w:t>
      </w:r>
      <w:r w:rsidR="00D21380" w:rsidRPr="007E514D">
        <w:t>(8) is replaced by the following:</w:t>
      </w:r>
    </w:p>
    <w:p w14:paraId="2DC15373" w14:textId="54B4A0CB" w:rsidR="00D21380" w:rsidRPr="00CA2B06" w:rsidRDefault="00D21380" w:rsidP="00CA2B06">
      <w:pPr>
        <w:pStyle w:val="Text2"/>
        <w:ind w:left="2160" w:hanging="743"/>
      </w:pPr>
      <w:r w:rsidRPr="00CA2B06">
        <w:t xml:space="preserve">‘(8) </w:t>
      </w:r>
      <w:r w:rsidR="00CA2B06">
        <w:tab/>
      </w:r>
      <w:r w:rsidRPr="00CA2B06">
        <w:t>‘balanced flue local space heater’ means a local space heater, using gaseous or liquid fuels, of which the fire bed and combustion gases are sealed from the space in which the product is fitted and which is sealed to a chimney or fireplace opening or requires a flue duct for the evacuation of products of combustion;’</w:t>
      </w:r>
      <w:r w:rsidR="00021B8C" w:rsidRPr="00CA2B06">
        <w:t>;</w:t>
      </w:r>
    </w:p>
    <w:p w14:paraId="743226CA" w14:textId="6E0D0692" w:rsidR="00C7211C" w:rsidRPr="007E514D" w:rsidRDefault="007E514D" w:rsidP="007E514D">
      <w:pPr>
        <w:pStyle w:val="Point1letter"/>
      </w:pPr>
      <w:r>
        <w:t>definition</w:t>
      </w:r>
      <w:r w:rsidRPr="007E514D">
        <w:t xml:space="preserve"> </w:t>
      </w:r>
      <w:r w:rsidR="00C7211C" w:rsidRPr="007E514D">
        <w:t>(9) is replaced by the following:</w:t>
      </w:r>
    </w:p>
    <w:p w14:paraId="0427A9B6" w14:textId="020F9A8D" w:rsidR="00C7211C" w:rsidRPr="00CA2B06" w:rsidRDefault="00C7211C" w:rsidP="00CA2B06">
      <w:pPr>
        <w:pStyle w:val="Text2"/>
        <w:ind w:left="2160" w:hanging="743"/>
      </w:pPr>
      <w:r w:rsidRPr="00CA2B06">
        <w:t xml:space="preserve">‘(9) </w:t>
      </w:r>
      <w:r w:rsidR="00CA2B06">
        <w:tab/>
      </w:r>
      <w:r w:rsidRPr="00CA2B06">
        <w:t xml:space="preserve">‘electric portable local space heater’ means an electric local space that is equipped with a cord supply and plug by the manufacturer which are designed to be portable in order to be operated in different rooms or locations. A portable appliance with features which can be used to fix it to a wall and/or floor </w:t>
      </w:r>
      <w:r w:rsidR="006E6EFA">
        <w:t>is</w:t>
      </w:r>
      <w:r w:rsidRPr="00CA2B06">
        <w:t xml:space="preserve"> considered an electric fixed local space heater;</w:t>
      </w:r>
      <w:proofErr w:type="gramStart"/>
      <w:r w:rsidRPr="00CA2B06">
        <w:t>’</w:t>
      </w:r>
      <w:r w:rsidR="00021B8C" w:rsidRPr="00CA2B06">
        <w:t>;</w:t>
      </w:r>
      <w:proofErr w:type="gramEnd"/>
    </w:p>
    <w:p w14:paraId="6F1843AE" w14:textId="3FA3BCD3" w:rsidR="00D21380" w:rsidRPr="007E514D" w:rsidRDefault="007E514D" w:rsidP="007E514D">
      <w:pPr>
        <w:pStyle w:val="Point1letter"/>
      </w:pPr>
      <w:r>
        <w:t>definition</w:t>
      </w:r>
      <w:r w:rsidRPr="007E514D">
        <w:t xml:space="preserve"> </w:t>
      </w:r>
      <w:r w:rsidR="00D21380" w:rsidRPr="007E514D">
        <w:t>(12) is replaced by the following:</w:t>
      </w:r>
    </w:p>
    <w:p w14:paraId="0B680860" w14:textId="1439940B" w:rsidR="00021B8C" w:rsidRPr="00CA2B06" w:rsidRDefault="00D21380" w:rsidP="00CA2B06">
      <w:pPr>
        <w:pStyle w:val="Text2"/>
        <w:ind w:left="2160" w:hanging="743"/>
      </w:pPr>
      <w:r w:rsidRPr="00CA2B06">
        <w:t xml:space="preserve">‘(12) </w:t>
      </w:r>
      <w:r w:rsidR="00CA2B06">
        <w:tab/>
      </w:r>
      <w:r w:rsidRPr="00CA2B06">
        <w:t>‘electric underfloor local space heater’ means an electric local space heater designed to be used while incorporated in the building structure or building finishing including self-regulating heating cables and mats;’</w:t>
      </w:r>
      <w:r w:rsidR="00021B8C" w:rsidRPr="00CA2B06">
        <w:t>;</w:t>
      </w:r>
    </w:p>
    <w:p w14:paraId="00277BD0" w14:textId="028D48A2" w:rsidR="00021B8C" w:rsidRPr="007E514D" w:rsidRDefault="007E514D" w:rsidP="007E514D">
      <w:pPr>
        <w:pStyle w:val="Point1letter"/>
      </w:pPr>
      <w:r>
        <w:t>definition</w:t>
      </w:r>
      <w:r w:rsidRPr="007E514D">
        <w:t xml:space="preserve"> </w:t>
      </w:r>
      <w:r w:rsidR="00021B8C" w:rsidRPr="007E514D">
        <w:t>(13) is deleted;</w:t>
      </w:r>
    </w:p>
    <w:p w14:paraId="052CBB04" w14:textId="05D20B0D" w:rsidR="00C7211C" w:rsidRPr="007E514D" w:rsidRDefault="007E514D" w:rsidP="007E514D">
      <w:pPr>
        <w:pStyle w:val="Point1letter"/>
      </w:pPr>
      <w:r>
        <w:t>definition</w:t>
      </w:r>
      <w:r w:rsidRPr="007E514D">
        <w:t xml:space="preserve"> </w:t>
      </w:r>
      <w:r w:rsidR="00C7211C" w:rsidRPr="007E514D">
        <w:t xml:space="preserve">(17) </w:t>
      </w:r>
      <w:r w:rsidR="00D21380" w:rsidRPr="007E514D">
        <w:t>is replaced by the following:</w:t>
      </w:r>
    </w:p>
    <w:p w14:paraId="363B2763" w14:textId="52C2AD79" w:rsidR="00D21380" w:rsidRPr="00CA2B06" w:rsidRDefault="00D21380" w:rsidP="00CA2B06">
      <w:pPr>
        <w:pStyle w:val="Text2"/>
        <w:ind w:left="2160" w:hanging="743"/>
      </w:pPr>
      <w:r w:rsidRPr="00CA2B06">
        <w:t>‘(1</w:t>
      </w:r>
      <w:r w:rsidR="00AA1627" w:rsidRPr="00CA2B06">
        <w:t>6</w:t>
      </w:r>
      <w:r w:rsidRPr="00CA2B06">
        <w:t xml:space="preserve">) </w:t>
      </w:r>
      <w:r w:rsidR="00CA2B06">
        <w:tab/>
      </w:r>
      <w:r w:rsidRPr="00CA2B06">
        <w:t>‘luminous commercial local space heater’ means a local space heater, using gaseous fuel which is equipped with a burner; which is to be installed above head level, directed towards the place of use so that the heat emission of the burner, being predominantly infrared radiation, directly warms the subjects to be heated and which emits the products of combustion in the space where it is situated;’</w:t>
      </w:r>
      <w:r w:rsidR="00021B8C" w:rsidRPr="00CA2B06">
        <w:t>;</w:t>
      </w:r>
    </w:p>
    <w:p w14:paraId="5D57647B" w14:textId="572D6A5E" w:rsidR="00D21380" w:rsidRPr="007E514D" w:rsidRDefault="007E514D" w:rsidP="007E514D">
      <w:pPr>
        <w:pStyle w:val="Point1letter"/>
      </w:pPr>
      <w:r>
        <w:t>definition</w:t>
      </w:r>
      <w:r w:rsidRPr="007E514D">
        <w:t xml:space="preserve"> </w:t>
      </w:r>
      <w:r w:rsidR="00D21380" w:rsidRPr="007E514D">
        <w:t>(18) is replaced by the following:</w:t>
      </w:r>
    </w:p>
    <w:p w14:paraId="7991AE7C" w14:textId="61AFE197" w:rsidR="00D21380" w:rsidRPr="00CA2B06" w:rsidRDefault="00D21380" w:rsidP="00CA2B06">
      <w:pPr>
        <w:pStyle w:val="Text2"/>
        <w:ind w:left="2160" w:hanging="743"/>
      </w:pPr>
      <w:r w:rsidRPr="00CA2B06">
        <w:t>‘(1</w:t>
      </w:r>
      <w:r w:rsidR="00AA1627" w:rsidRPr="00CA2B06">
        <w:t>7</w:t>
      </w:r>
      <w:r w:rsidRPr="00CA2B06">
        <w:t xml:space="preserve">) </w:t>
      </w:r>
      <w:r w:rsidR="00CA2B06">
        <w:tab/>
      </w:r>
      <w:r w:rsidRPr="00CA2B06">
        <w:t>‘tube commercial local space heater’ means a local space heater, using gaseous or liquid fuel, which is equipped with a burner; which is to be installed above head level, near the subjects to be heated, which heats the space primarily by infrared radiation from the tube or tubes heated by the internal passage of products of combustion and of which the products of combustion are to be evacuated through a flue duct;’</w:t>
      </w:r>
      <w:r w:rsidR="00021B8C" w:rsidRPr="00CA2B06">
        <w:t>;</w:t>
      </w:r>
    </w:p>
    <w:p w14:paraId="25723783" w14:textId="47E5D632" w:rsidR="00C7211C" w:rsidRPr="007E514D" w:rsidRDefault="007E514D" w:rsidP="007E514D">
      <w:pPr>
        <w:pStyle w:val="Point1letter"/>
      </w:pPr>
      <w:r>
        <w:t>definition</w:t>
      </w:r>
      <w:r w:rsidRPr="007E514D">
        <w:t xml:space="preserve"> </w:t>
      </w:r>
      <w:r w:rsidR="00C7211C" w:rsidRPr="007E514D">
        <w:t>(23) is replaced by the following:</w:t>
      </w:r>
    </w:p>
    <w:p w14:paraId="18F6F888" w14:textId="65AE45BD" w:rsidR="00C7211C" w:rsidRDefault="00C7211C" w:rsidP="00CA2B06">
      <w:pPr>
        <w:pStyle w:val="Text2"/>
      </w:pPr>
      <w:r>
        <w:t>‘(2</w:t>
      </w:r>
      <w:r w:rsidR="00AA1627">
        <w:t>2</w:t>
      </w:r>
      <w:r>
        <w:t xml:space="preserve">) </w:t>
      </w:r>
      <w:r w:rsidR="00CA2B06">
        <w:tab/>
        <w:t>‘</w:t>
      </w:r>
      <w:proofErr w:type="gramStart"/>
      <w:r w:rsidRPr="003F39AE">
        <w:t>air</w:t>
      </w:r>
      <w:proofErr w:type="gramEnd"/>
      <w:r w:rsidRPr="003F39AE">
        <w:t xml:space="preserve"> heating product’ means a device that:</w:t>
      </w:r>
    </w:p>
    <w:p w14:paraId="55A92B3C" w14:textId="1F41C45A" w:rsidR="00C7211C" w:rsidRDefault="00C7211C" w:rsidP="00CA2B06">
      <w:pPr>
        <w:pStyle w:val="Point3letter"/>
        <w:ind w:hanging="391"/>
      </w:pPr>
      <w:r w:rsidRPr="003F39AE">
        <w:t>incorporates or provides heat to an air-based heating system;</w:t>
      </w:r>
    </w:p>
    <w:p w14:paraId="55EC6E9E" w14:textId="14718800" w:rsidR="00C7211C" w:rsidRDefault="00C7211C" w:rsidP="00CA2B06">
      <w:pPr>
        <w:pStyle w:val="Point3letter"/>
        <w:ind w:hanging="391"/>
      </w:pPr>
      <w:r>
        <w:t xml:space="preserve">is equipped with one or more heat generators; and </w:t>
      </w:r>
    </w:p>
    <w:p w14:paraId="6A5C8AB9" w14:textId="4136B2E8" w:rsidR="00C7211C" w:rsidRDefault="00C7211C" w:rsidP="00CA2B06">
      <w:pPr>
        <w:pStyle w:val="Point3letter"/>
        <w:ind w:hanging="391"/>
      </w:pPr>
      <w:proofErr w:type="gramStart"/>
      <w:r>
        <w:t>may</w:t>
      </w:r>
      <w:proofErr w:type="gramEnd"/>
      <w:r>
        <w:t xml:space="preserve"> include an air-based heating system for supplying heated air directly into the heated space by means of an air-moving device.</w:t>
      </w:r>
    </w:p>
    <w:p w14:paraId="7B42C78D" w14:textId="02560300" w:rsidR="00C7211C" w:rsidRPr="003F39AE" w:rsidRDefault="00C7211C" w:rsidP="00CA2B06">
      <w:pPr>
        <w:pStyle w:val="Text2"/>
        <w:ind w:left="2160"/>
        <w:rPr>
          <w:i/>
        </w:rPr>
      </w:pPr>
      <w:r>
        <w:t>A heat generator designed for an air heating product and an air heating product housing designed to be equipped with such a heat generator shall, together, be considered as an air heating product;</w:t>
      </w:r>
      <w:r w:rsidR="00021B8C">
        <w:t>’;</w:t>
      </w:r>
    </w:p>
    <w:p w14:paraId="699F3352" w14:textId="59FBC351" w:rsidR="00D21380" w:rsidRPr="007E514D" w:rsidRDefault="00D21380" w:rsidP="007E514D">
      <w:pPr>
        <w:pStyle w:val="Point1letter"/>
      </w:pPr>
      <w:r w:rsidRPr="007E514D">
        <w:t>the</w:t>
      </w:r>
      <w:r w:rsidR="00021B8C" w:rsidRPr="007E514D">
        <w:t xml:space="preserve"> following definitions are added</w:t>
      </w:r>
      <w:r w:rsidRPr="007E514D">
        <w:t>:</w:t>
      </w:r>
    </w:p>
    <w:p w14:paraId="5E4EF586" w14:textId="30827C1E" w:rsidR="00D21380" w:rsidRPr="00CA2B06" w:rsidRDefault="00D21380" w:rsidP="00CA2B06">
      <w:pPr>
        <w:pStyle w:val="Text2"/>
        <w:ind w:left="2160" w:hanging="743"/>
      </w:pPr>
      <w:r w:rsidRPr="00CA2B06">
        <w:t>‘(3</w:t>
      </w:r>
      <w:r w:rsidR="00AA1627" w:rsidRPr="00CA2B06">
        <w:t>1</w:t>
      </w:r>
      <w:r w:rsidRPr="00CA2B06">
        <w:t xml:space="preserve">) </w:t>
      </w:r>
      <w:r w:rsidR="00CA2B06">
        <w:tab/>
      </w:r>
      <w:r w:rsidRPr="00CA2B06">
        <w:t>‘</w:t>
      </w:r>
      <w:proofErr w:type="gramStart"/>
      <w:r w:rsidRPr="00CA2B06">
        <w:t>towel</w:t>
      </w:r>
      <w:proofErr w:type="gramEnd"/>
      <w:r w:rsidRPr="00CA2B06">
        <w:t xml:space="preserve"> rail’ means a fixed local space heater which is equipped with additional features to hold and dry or warm towels;</w:t>
      </w:r>
    </w:p>
    <w:p w14:paraId="18C86AB5" w14:textId="24F91F48" w:rsidR="00021B8C" w:rsidRPr="00CA2B06" w:rsidRDefault="00D21380" w:rsidP="00CA2B06">
      <w:pPr>
        <w:pStyle w:val="Text2"/>
        <w:ind w:left="2160" w:hanging="743"/>
      </w:pPr>
      <w:r w:rsidRPr="00CA2B06">
        <w:t>(3</w:t>
      </w:r>
      <w:r w:rsidR="00AA1627" w:rsidRPr="00CA2B06">
        <w:t>2</w:t>
      </w:r>
      <w:r w:rsidRPr="00CA2B06">
        <w:t xml:space="preserve">) </w:t>
      </w:r>
      <w:r w:rsidR="00CA2B06">
        <w:tab/>
      </w:r>
      <w:r w:rsidRPr="00CA2B06">
        <w:t xml:space="preserve">‘cooking appliance’ means an appliance or part of an appliance which incorporates one or more cavities using electricity and/or gas in which food is prepared by use of a conventional or fan-forced mode;  </w:t>
      </w:r>
    </w:p>
    <w:p w14:paraId="0BBE03A4" w14:textId="77777777" w:rsidR="00FA4147" w:rsidRDefault="00021B8C" w:rsidP="00CA2B06">
      <w:pPr>
        <w:pStyle w:val="Text2"/>
        <w:ind w:left="2160" w:hanging="743"/>
      </w:pPr>
      <w:r w:rsidRPr="00CA2B06">
        <w:t xml:space="preserve">(33) </w:t>
      </w:r>
      <w:r w:rsidR="00CA2B06">
        <w:tab/>
      </w:r>
      <w:r w:rsidR="00D1078E">
        <w:t xml:space="preserve">‘closed combustion, </w:t>
      </w:r>
      <w:r w:rsidRPr="00CA2B06">
        <w:t>open fronted local space heater’ means a local space heater, using gaseous or liquid fuels, of which the combustion gases are not sealed from the space in which the product is fitted, but the front is closed and the air intake from the room can be adjusted. The product is sealed to a chimney or fireplace opening or requires a flue duct for the evacuation of products of combustion</w:t>
      </w:r>
      <w:r w:rsidR="00FA4147">
        <w:t>;</w:t>
      </w:r>
    </w:p>
    <w:p w14:paraId="27CC0C7B" w14:textId="78B07BA9" w:rsidR="00021B8C" w:rsidRPr="00CA2B06" w:rsidRDefault="00FA4147" w:rsidP="00CA2B06">
      <w:pPr>
        <w:pStyle w:val="Text2"/>
        <w:ind w:left="2160" w:hanging="743"/>
      </w:pPr>
      <w:r>
        <w:t>(34)</w:t>
      </w:r>
      <w:r>
        <w:tab/>
      </w:r>
      <w:r w:rsidR="00533F3A">
        <w:t>‘b</w:t>
      </w:r>
      <w:r w:rsidR="00533F3A" w:rsidRPr="00025B57">
        <w:t xml:space="preserve">alanced </w:t>
      </w:r>
      <w:r w:rsidRPr="00025B57">
        <w:t xml:space="preserve">flue/closed </w:t>
      </w:r>
      <w:r>
        <w:t>combustion local space heater</w:t>
      </w:r>
      <w:r w:rsidR="00533F3A">
        <w:t>’</w:t>
      </w:r>
      <w:r w:rsidR="00533F3A" w:rsidRPr="00025B57">
        <w:t xml:space="preserve"> </w:t>
      </w:r>
      <w:r w:rsidRPr="00025B57">
        <w:t>means a local space heater, using gaseous fuel, of which the combustion chamber is closed by a glass or metal pane and is sealed from the space in which the product is fitted, and which requires a flue system for the evacuation of the products of combustion</w:t>
      </w:r>
      <w:r w:rsidR="00021B8C" w:rsidRPr="00CA2B06">
        <w:t>.’;</w:t>
      </w:r>
    </w:p>
    <w:p w14:paraId="338B94AC" w14:textId="7D998920" w:rsidR="008F4F37" w:rsidRDefault="008F4F37" w:rsidP="0008182B">
      <w:pPr>
        <w:pStyle w:val="Point0number"/>
      </w:pPr>
      <w:r>
        <w:t>The following Article is added after Article 5:</w:t>
      </w:r>
    </w:p>
    <w:p w14:paraId="4C8685A7" w14:textId="0E1AD93A" w:rsidR="008F4F37" w:rsidRPr="008F4F37" w:rsidRDefault="008F4F37" w:rsidP="008F4F37">
      <w:pPr>
        <w:pStyle w:val="Text1"/>
        <w:jc w:val="center"/>
        <w:rPr>
          <w:b/>
        </w:rPr>
      </w:pPr>
      <w:r>
        <w:t>‘</w:t>
      </w:r>
      <w:r w:rsidRPr="002E5E09">
        <w:t>Article 6</w:t>
      </w:r>
      <w:r w:rsidRPr="002E5E09">
        <w:br/>
      </w:r>
      <w:r w:rsidRPr="008F4F37">
        <w:rPr>
          <w:b/>
        </w:rPr>
        <w:t>Circumvention and software updates</w:t>
      </w:r>
    </w:p>
    <w:p w14:paraId="5FC2436A" w14:textId="77777777" w:rsidR="008F4F37" w:rsidRDefault="008F4F37" w:rsidP="008F4F37">
      <w:pPr>
        <w:pStyle w:val="Text1"/>
      </w:pPr>
      <w:r w:rsidRPr="002E5E09">
        <w:t>The manufacturer</w:t>
      </w:r>
      <w:r>
        <w:t>,</w:t>
      </w:r>
      <w:r w:rsidRPr="002E5E09">
        <w:t xml:space="preserve"> importer </w:t>
      </w:r>
      <w:r>
        <w:t xml:space="preserve">or authorised representative </w:t>
      </w:r>
      <w:r w:rsidRPr="002E5E09">
        <w:t xml:space="preserve">shall not place on the market products designed </w:t>
      </w:r>
      <w:r>
        <w:t xml:space="preserve">to be able to detect they are being tested (e.g. recognising the </w:t>
      </w:r>
      <w:r w:rsidRPr="002E5E09">
        <w:t xml:space="preserve">test conditions </w:t>
      </w:r>
      <w:r>
        <w:t xml:space="preserve">or test cycle), and to react specifically by automatically altering their performance during the test </w:t>
      </w:r>
      <w:r w:rsidRPr="002E5E09">
        <w:t xml:space="preserve">with the </w:t>
      </w:r>
      <w:r>
        <w:t>aim</w:t>
      </w:r>
      <w:r w:rsidRPr="002E5E09">
        <w:t xml:space="preserve"> of reaching a more favourable level for any of the parameters declared by the manufacturer</w:t>
      </w:r>
      <w:r>
        <w:t>, importer or authorised representative</w:t>
      </w:r>
      <w:r w:rsidRPr="002E5E09">
        <w:t xml:space="preserve"> in the technical documentation or included in any of the documentation provided.</w:t>
      </w:r>
    </w:p>
    <w:p w14:paraId="3AA11AFD" w14:textId="77777777" w:rsidR="008F4F37" w:rsidRDefault="008F4F37" w:rsidP="008F4F37">
      <w:pPr>
        <w:pStyle w:val="Text1"/>
      </w:pPr>
      <w:r>
        <w:t>T</w:t>
      </w:r>
      <w:r w:rsidRPr="00C5527C">
        <w:t xml:space="preserve">he energy consumption of the product </w:t>
      </w:r>
      <w:r>
        <w:t xml:space="preserve">and any of the other declared parameters </w:t>
      </w:r>
      <w:r w:rsidRPr="00C5527C">
        <w:t xml:space="preserve">shall not </w:t>
      </w:r>
      <w:r>
        <w:t>deteriorate</w:t>
      </w:r>
      <w:r w:rsidRPr="00C5527C">
        <w:t xml:space="preserve"> after a software or firmware update when measured with the same test standard originally used for the declaration of conformity, except with explicit consent of the end-user</w:t>
      </w:r>
      <w:r>
        <w:t xml:space="preserve"> prior to update</w:t>
      </w:r>
      <w:r w:rsidRPr="00C5527C">
        <w:t>.</w:t>
      </w:r>
      <w:r w:rsidRPr="00A26C73">
        <w:t xml:space="preserve"> </w:t>
      </w:r>
      <w:r w:rsidRPr="00F52FB6">
        <w:t>No performance change shall occur as a result of rejecting the update</w:t>
      </w:r>
      <w:r>
        <w:t>.</w:t>
      </w:r>
    </w:p>
    <w:p w14:paraId="519541D0" w14:textId="45BE6C34" w:rsidR="008F4F37" w:rsidRDefault="008F4F37" w:rsidP="008F4F37">
      <w:pPr>
        <w:pStyle w:val="Text1"/>
      </w:pPr>
      <w:r>
        <w:t>A software update shall never have the effect of changing the product’s performance in a way that makes it non-compliant with the ecodesign requirements applicable for the declaration of conformity.’</w:t>
      </w:r>
    </w:p>
    <w:p w14:paraId="14AA16B4" w14:textId="17747AB2" w:rsidR="00AA55BF" w:rsidRDefault="00AA55BF" w:rsidP="00AA55BF">
      <w:pPr>
        <w:pStyle w:val="Point0number"/>
      </w:pPr>
      <w:r w:rsidRPr="00AA55BF">
        <w:t xml:space="preserve">Article </w:t>
      </w:r>
      <w:r w:rsidR="00533F3A">
        <w:t>6</w:t>
      </w:r>
      <w:r w:rsidRPr="00AA55BF">
        <w:t xml:space="preserve"> is replaced by the following</w:t>
      </w:r>
      <w:r>
        <w:t>:</w:t>
      </w:r>
      <w:r w:rsidRPr="00AA55BF">
        <w:t xml:space="preserve"> </w:t>
      </w:r>
    </w:p>
    <w:p w14:paraId="2BEC3BCE" w14:textId="3BEEEF53" w:rsidR="00AA55BF" w:rsidRDefault="00533F3A" w:rsidP="00AA55BF">
      <w:pPr>
        <w:pStyle w:val="Point0number"/>
        <w:numPr>
          <w:ilvl w:val="0"/>
          <w:numId w:val="0"/>
        </w:numPr>
        <w:ind w:left="850"/>
        <w:jc w:val="center"/>
      </w:pPr>
      <w:r>
        <w:t>‘</w:t>
      </w:r>
      <w:r w:rsidR="00AA55BF">
        <w:t>Article 7</w:t>
      </w:r>
    </w:p>
    <w:p w14:paraId="20BF255B" w14:textId="77777777" w:rsidR="00AA55BF" w:rsidRPr="00AA55BF" w:rsidRDefault="00AA55BF" w:rsidP="00AA55BF">
      <w:pPr>
        <w:pStyle w:val="Point0number"/>
        <w:numPr>
          <w:ilvl w:val="0"/>
          <w:numId w:val="0"/>
        </w:numPr>
        <w:ind w:left="850"/>
        <w:jc w:val="center"/>
        <w:rPr>
          <w:b/>
        </w:rPr>
      </w:pPr>
      <w:r w:rsidRPr="00AA55BF">
        <w:rPr>
          <w:b/>
        </w:rPr>
        <w:t>Review</w:t>
      </w:r>
    </w:p>
    <w:p w14:paraId="750AFA07" w14:textId="77777777" w:rsidR="00AA55BF" w:rsidRDefault="00AA55BF" w:rsidP="00AA55BF">
      <w:pPr>
        <w:pStyle w:val="Point0number"/>
        <w:numPr>
          <w:ilvl w:val="0"/>
          <w:numId w:val="0"/>
        </w:numPr>
        <w:ind w:left="850"/>
      </w:pPr>
      <w:r w:rsidRPr="00AA55BF">
        <w:t xml:space="preserve">The Commission shall review this Regulation in the light of technological progress and shall present the results of this review, including, if appropriate, a draft revision proposal, to the Consultation Forum referred to in Article 18 of Directive 2009/125/EC no later than </w:t>
      </w:r>
      <w:r w:rsidRPr="00533F3A">
        <w:rPr>
          <w:i/>
        </w:rPr>
        <w:t>[OP – please insert date - five years after its entry into force</w:t>
      </w:r>
      <w:r w:rsidRPr="00AA55BF">
        <w:t>].</w:t>
      </w:r>
      <w:r>
        <w:t xml:space="preserve"> </w:t>
      </w:r>
    </w:p>
    <w:p w14:paraId="13BD24CB" w14:textId="475415BE" w:rsidR="007646AF" w:rsidRDefault="00AA55BF" w:rsidP="00AA55BF">
      <w:pPr>
        <w:pStyle w:val="Point0number"/>
        <w:numPr>
          <w:ilvl w:val="0"/>
          <w:numId w:val="0"/>
        </w:numPr>
        <w:ind w:left="850"/>
      </w:pPr>
      <w:r w:rsidRPr="00AA55BF">
        <w:t>This review shall in particular assess</w:t>
      </w:r>
      <w:r>
        <w:t>:</w:t>
      </w:r>
    </w:p>
    <w:p w14:paraId="203F1767" w14:textId="2EBEDB37" w:rsidR="00533F3A" w:rsidRPr="00533F3A" w:rsidRDefault="00533F3A" w:rsidP="00533F3A">
      <w:pPr>
        <w:pStyle w:val="Tiret1"/>
      </w:pPr>
      <w:r>
        <w:t>whether it is appropriate to set stricter ecodesign requirements for energy efficiency and for emissions of nitrogen oxides (NO</w:t>
      </w:r>
      <w:r w:rsidR="000E402B" w:rsidRPr="000E402B">
        <w:rPr>
          <w:szCs w:val="24"/>
          <w:vertAlign w:val="subscript"/>
        </w:rPr>
        <w:t>x</w:t>
      </w:r>
      <w:r w:rsidR="000E402B">
        <w:t>);</w:t>
      </w:r>
      <w:r>
        <w:t xml:space="preserve"> </w:t>
      </w:r>
    </w:p>
    <w:p w14:paraId="185FBCAD" w14:textId="7EC76609" w:rsidR="00533F3A" w:rsidRDefault="00533F3A" w:rsidP="00533F3A">
      <w:pPr>
        <w:pStyle w:val="Tiret1"/>
      </w:pPr>
      <w:r>
        <w:t>whether the verification</w:t>
      </w:r>
      <w:r w:rsidR="000E402B">
        <w:t xml:space="preserve"> tolerances should be modified;</w:t>
      </w:r>
    </w:p>
    <w:p w14:paraId="457E0659" w14:textId="1A916F77" w:rsidR="007646AF" w:rsidRDefault="00533F3A" w:rsidP="00533F3A">
      <w:pPr>
        <w:pStyle w:val="Tiret1"/>
      </w:pPr>
      <w:r>
        <w:t xml:space="preserve">the validity of the correction factors used for assessing the seasonal space heating energy efficiency of local space heaters, — the appropriateness of introducing third party certification </w:t>
      </w:r>
      <w:r w:rsidR="00AA55BF">
        <w:t xml:space="preserve"> </w:t>
      </w:r>
      <w:r w:rsidR="007646AF" w:rsidRPr="007646AF">
        <w:t xml:space="preserve">the appropriateness of </w:t>
      </w:r>
      <w:r w:rsidR="00AA55BF">
        <w:t>fume and odour removal requirements</w:t>
      </w:r>
      <w:r w:rsidR="000E402B">
        <w:t>;</w:t>
      </w:r>
    </w:p>
    <w:p w14:paraId="70019DE5" w14:textId="3E3F4F78" w:rsidR="00AA55BF" w:rsidRDefault="00533F3A" w:rsidP="00533F3A">
      <w:pPr>
        <w:pStyle w:val="Tiret1"/>
      </w:pPr>
      <w:r>
        <w:t>whether it is appropriate to include outdoor heaters in the scope</w:t>
      </w:r>
      <w:r w:rsidR="007646AF" w:rsidRPr="007646AF">
        <w:t>;</w:t>
      </w:r>
    </w:p>
    <w:p w14:paraId="0C1F0C09" w14:textId="77777777" w:rsidR="00533F3A" w:rsidRPr="0034755D" w:rsidRDefault="00533F3A" w:rsidP="00533F3A">
      <w:pPr>
        <w:pStyle w:val="Tiret1"/>
      </w:pPr>
      <w:r w:rsidRPr="0034755D">
        <w:t>the appropriateness to set additional resource efficiency requirements in accordance with the objectives of the circular economy, including whether more spare parts should be included;</w:t>
      </w:r>
    </w:p>
    <w:p w14:paraId="7EDC9639" w14:textId="55076F2A" w:rsidR="007646AF" w:rsidRDefault="007646AF" w:rsidP="00533F3A">
      <w:pPr>
        <w:pStyle w:val="Tiret1"/>
      </w:pPr>
      <w:r w:rsidRPr="007646AF">
        <w:t>whether the lif</w:t>
      </w:r>
      <w:r w:rsidR="00533F3A">
        <w:t>etime of local space heaters has</w:t>
      </w:r>
      <w:r w:rsidRPr="007646AF">
        <w:t xml:space="preserve"> decreased due to the introduction of more advanced control and the appropriateness of introducing requirements of a minimum lifetime and/or spare parts availability and/or upgradeability of controls.’;</w:t>
      </w:r>
    </w:p>
    <w:p w14:paraId="112B820A" w14:textId="516BC8BC" w:rsidR="008F4F37" w:rsidRDefault="008F4F37" w:rsidP="008F4F37">
      <w:pPr>
        <w:pStyle w:val="Point0number"/>
      </w:pPr>
      <w:r>
        <w:t xml:space="preserve">Annex I </w:t>
      </w:r>
      <w:r w:rsidR="00C84E8A">
        <w:t>is amended as follows:</w:t>
      </w:r>
    </w:p>
    <w:p w14:paraId="418CCCF3" w14:textId="446F17A9" w:rsidR="00C84E8A" w:rsidRDefault="00D1078E" w:rsidP="00C84E8A">
      <w:pPr>
        <w:pStyle w:val="Text1"/>
      </w:pPr>
      <w:r>
        <w:t>D</w:t>
      </w:r>
      <w:r w:rsidR="00C84E8A">
        <w:t>efinition (2) is replaced by the following:</w:t>
      </w:r>
    </w:p>
    <w:p w14:paraId="35F19B89" w14:textId="7D6769C8" w:rsidR="008F4F37" w:rsidRDefault="008F4F37" w:rsidP="00D1078E">
      <w:pPr>
        <w:pStyle w:val="Text1"/>
        <w:ind w:left="1440" w:hanging="585"/>
      </w:pPr>
      <w:r>
        <w:t>‘</w:t>
      </w:r>
      <w:r w:rsidR="00D1078E">
        <w:t>(2)</w:t>
      </w:r>
      <w:r w:rsidR="00D1078E">
        <w:tab/>
      </w:r>
      <w:r w:rsidRPr="00A521ED">
        <w:t>‘conversion coefficient’ (CC) means a coefficient reflecting the estimated 4</w:t>
      </w:r>
      <w:r>
        <w:t>7,6</w:t>
      </w:r>
      <w:r w:rsidRPr="00A521ED">
        <w:t xml:space="preserve"> % average EU generation efficiency</w:t>
      </w:r>
      <w:r w:rsidR="00C84E8A">
        <w:t>, as established in Annex IV of D</w:t>
      </w:r>
      <w:r w:rsidRPr="00A521ED">
        <w:t xml:space="preserve">irective </w:t>
      </w:r>
      <w:r w:rsidR="00C84E8A">
        <w:t>2012/27/</w:t>
      </w:r>
      <w:r w:rsidRPr="00A521ED">
        <w:t>EU of the European P</w:t>
      </w:r>
      <w:r w:rsidR="00C84E8A">
        <w:t>arliament and of the Council</w:t>
      </w:r>
      <w:r w:rsidR="00C84E8A" w:rsidRPr="00217B33">
        <w:rPr>
          <w:rStyle w:val="FootnoteReference"/>
        </w:rPr>
        <w:footnoteReference w:id="4"/>
      </w:r>
      <w:r w:rsidR="00C84E8A">
        <w:t>. T</w:t>
      </w:r>
      <w:r w:rsidRPr="00A521ED">
        <w:t>he value of the conversion coefficient is CC = 2</w:t>
      </w:r>
      <w:proofErr w:type="gramStart"/>
      <w:r w:rsidRPr="00A521ED">
        <w:t>,</w:t>
      </w:r>
      <w:r>
        <w:t>1</w:t>
      </w:r>
      <w:proofErr w:type="gramEnd"/>
      <w:r w:rsidRPr="00A521ED">
        <w:t>;</w:t>
      </w:r>
      <w:r>
        <w:t>’</w:t>
      </w:r>
    </w:p>
    <w:p w14:paraId="0E0FF35F" w14:textId="66B99B52" w:rsidR="00C84E8A" w:rsidRDefault="00C84E8A" w:rsidP="00C84E8A">
      <w:pPr>
        <w:pStyle w:val="Point0number"/>
      </w:pPr>
      <w:r>
        <w:t>Annex II is amended as follows:</w:t>
      </w:r>
    </w:p>
    <w:p w14:paraId="79888ECC" w14:textId="790BADA9" w:rsidR="00C84E8A" w:rsidRDefault="003973E9" w:rsidP="00B5618F">
      <w:pPr>
        <w:pStyle w:val="Point1letter"/>
        <w:numPr>
          <w:ilvl w:val="3"/>
          <w:numId w:val="26"/>
        </w:numPr>
      </w:pPr>
      <w:r>
        <w:t>p</w:t>
      </w:r>
      <w:r w:rsidR="00C84E8A">
        <w:t>oint 1 is replaced by the following:</w:t>
      </w:r>
    </w:p>
    <w:p w14:paraId="27BE2A12" w14:textId="770431D8" w:rsidR="00C84E8A" w:rsidRDefault="00C84E8A" w:rsidP="00A34DEE">
      <w:pPr>
        <w:pStyle w:val="Text1"/>
      </w:pPr>
      <w:r>
        <w:t xml:space="preserve">‘1. Specific ecodesign requirements for seasonal space heating energy efficiency </w:t>
      </w:r>
    </w:p>
    <w:p w14:paraId="03C1C957" w14:textId="377818D8" w:rsidR="00C84E8A" w:rsidRDefault="00C84E8A" w:rsidP="00A34DEE">
      <w:pPr>
        <w:pStyle w:val="Text2"/>
        <w:ind w:left="1580" w:hanging="380"/>
      </w:pPr>
      <w:r>
        <w:t>(a) Local space heaters shall comply with the following requirements from 1 January 2022:</w:t>
      </w:r>
    </w:p>
    <w:p w14:paraId="3CFBB2D4" w14:textId="52E1F01C" w:rsidR="00C84E8A" w:rsidRDefault="00C84E8A" w:rsidP="00B5618F">
      <w:pPr>
        <w:pStyle w:val="Text2"/>
        <w:numPr>
          <w:ilvl w:val="0"/>
          <w:numId w:val="27"/>
        </w:numPr>
        <w:ind w:left="2280"/>
      </w:pPr>
      <w:r w:rsidRPr="00C84E8A">
        <w:t xml:space="preserve">seasonal space heating energy efficiency of </w:t>
      </w:r>
      <w:r w:rsidR="0000053F">
        <w:t>open combustion, op</w:t>
      </w:r>
      <w:r w:rsidRPr="00C84E8A">
        <w:t xml:space="preserve">en fronted local space heaters using gaseous or liquid fuel shall not be less than 42 %; </w:t>
      </w:r>
    </w:p>
    <w:p w14:paraId="42628F06" w14:textId="568C1280" w:rsidR="00C84E8A" w:rsidRDefault="00C84E8A" w:rsidP="00B5618F">
      <w:pPr>
        <w:pStyle w:val="Text2"/>
        <w:numPr>
          <w:ilvl w:val="0"/>
          <w:numId w:val="27"/>
        </w:numPr>
        <w:ind w:left="2280"/>
      </w:pPr>
      <w:r w:rsidRPr="00C84E8A">
        <w:t>seasonal space heating ener</w:t>
      </w:r>
      <w:r w:rsidR="0000053F">
        <w:t xml:space="preserve">gy efficiency of closed fronted, open combustion </w:t>
      </w:r>
      <w:r w:rsidRPr="00C84E8A">
        <w:t xml:space="preserve">local space heaters </w:t>
      </w:r>
      <w:r w:rsidR="00FA4147">
        <w:t xml:space="preserve">and balanced flue, closed combustion </w:t>
      </w:r>
      <w:r w:rsidR="00FA4147" w:rsidRPr="00C84E8A">
        <w:t xml:space="preserve">local space heaters </w:t>
      </w:r>
      <w:r w:rsidRPr="00C84E8A">
        <w:t xml:space="preserve">using gaseous or liquid fuel shall not be less than 72 %; </w:t>
      </w:r>
    </w:p>
    <w:p w14:paraId="77E6225F" w14:textId="25A0A997" w:rsidR="00C84E8A" w:rsidRDefault="00C84E8A" w:rsidP="00B5618F">
      <w:pPr>
        <w:pStyle w:val="Text2"/>
        <w:numPr>
          <w:ilvl w:val="0"/>
          <w:numId w:val="27"/>
        </w:numPr>
        <w:ind w:left="2280"/>
      </w:pPr>
      <w:r w:rsidRPr="00C84E8A">
        <w:t xml:space="preserve">seasonal space heating energy efficiency of electric portable local space heaters shall not be less than </w:t>
      </w:r>
      <w:r>
        <w:t>43,6</w:t>
      </w:r>
      <w:r w:rsidRPr="00C84E8A">
        <w:t xml:space="preserve"> %; </w:t>
      </w:r>
    </w:p>
    <w:p w14:paraId="4FB5BF74" w14:textId="663A72ED" w:rsidR="00C84E8A" w:rsidRDefault="00C84E8A" w:rsidP="00B5618F">
      <w:pPr>
        <w:pStyle w:val="Text2"/>
        <w:numPr>
          <w:ilvl w:val="0"/>
          <w:numId w:val="27"/>
        </w:numPr>
        <w:ind w:left="2280"/>
      </w:pPr>
      <w:r w:rsidRPr="00C84E8A">
        <w:t xml:space="preserve">seasonal space heating energy efficiency of electric fixed local space heaters with a nominal heat output above 250 W shall not be less than </w:t>
      </w:r>
      <w:r>
        <w:t>45,6</w:t>
      </w:r>
      <w:r w:rsidRPr="00C84E8A">
        <w:t xml:space="preserve"> %; </w:t>
      </w:r>
    </w:p>
    <w:p w14:paraId="05E8F8B9" w14:textId="33FE2228" w:rsidR="00C84E8A" w:rsidRDefault="00C84E8A" w:rsidP="00B5618F">
      <w:pPr>
        <w:pStyle w:val="Text2"/>
        <w:numPr>
          <w:ilvl w:val="0"/>
          <w:numId w:val="27"/>
        </w:numPr>
        <w:ind w:left="2280"/>
      </w:pPr>
      <w:r w:rsidRPr="00C84E8A">
        <w:t xml:space="preserve">seasonal space heating energy efficiency of electric fixed local space heaters with a nominal heat output equal or below 250 W shall not be less than </w:t>
      </w:r>
      <w:r>
        <w:t>41,6</w:t>
      </w:r>
      <w:r w:rsidRPr="00C84E8A">
        <w:t xml:space="preserve"> %; </w:t>
      </w:r>
    </w:p>
    <w:p w14:paraId="2A3FE843" w14:textId="69EC2D01" w:rsidR="00C84E8A" w:rsidRDefault="00C84E8A" w:rsidP="00B5618F">
      <w:pPr>
        <w:pStyle w:val="Text2"/>
        <w:numPr>
          <w:ilvl w:val="0"/>
          <w:numId w:val="27"/>
        </w:numPr>
        <w:ind w:left="2280"/>
      </w:pPr>
      <w:r w:rsidRPr="00C84E8A">
        <w:t xml:space="preserve">seasonal space heating energy efficiency of electric storage local space heaters shall not be less than </w:t>
      </w:r>
      <w:r>
        <w:t>41,6</w:t>
      </w:r>
      <w:r w:rsidRPr="00C84E8A">
        <w:t xml:space="preserve"> %; </w:t>
      </w:r>
    </w:p>
    <w:p w14:paraId="18DEF548" w14:textId="5F7F27B4" w:rsidR="00C84E8A" w:rsidRDefault="00C84E8A" w:rsidP="00B5618F">
      <w:pPr>
        <w:pStyle w:val="Text2"/>
        <w:numPr>
          <w:ilvl w:val="0"/>
          <w:numId w:val="27"/>
        </w:numPr>
        <w:ind w:left="2280"/>
      </w:pPr>
      <w:r w:rsidRPr="00C84E8A">
        <w:t xml:space="preserve">seasonal space heating energy efficiency of electric underfloor local space heaters shall not be less than </w:t>
      </w:r>
      <w:r>
        <w:t>45,6</w:t>
      </w:r>
      <w:r w:rsidRPr="00C84E8A">
        <w:t xml:space="preserve"> %; </w:t>
      </w:r>
    </w:p>
    <w:p w14:paraId="2E53D5D5" w14:textId="34B2ED31" w:rsidR="00C84E8A" w:rsidRDefault="00C84E8A" w:rsidP="00B5618F">
      <w:pPr>
        <w:pStyle w:val="Text2"/>
        <w:numPr>
          <w:ilvl w:val="0"/>
          <w:numId w:val="27"/>
        </w:numPr>
        <w:ind w:left="2280"/>
      </w:pPr>
      <w:r w:rsidRPr="00C84E8A">
        <w:t xml:space="preserve">seasonal space heating energy efficiency of electric visibly glowing radiant local space heaters with a nominal heat output above 1,2 kW shall not be less than </w:t>
      </w:r>
      <w:r>
        <w:t>42</w:t>
      </w:r>
      <w:r w:rsidR="00A34DEE">
        <w:t>,</w:t>
      </w:r>
      <w:r>
        <w:t>6</w:t>
      </w:r>
      <w:r w:rsidRPr="00C84E8A">
        <w:t xml:space="preserve"> %; </w:t>
      </w:r>
    </w:p>
    <w:p w14:paraId="3AB5CBFF" w14:textId="36C3AD3F" w:rsidR="00C84E8A" w:rsidRDefault="00C84E8A" w:rsidP="00B5618F">
      <w:pPr>
        <w:pStyle w:val="Text2"/>
        <w:numPr>
          <w:ilvl w:val="0"/>
          <w:numId w:val="27"/>
        </w:numPr>
        <w:ind w:left="2280"/>
      </w:pPr>
      <w:r w:rsidRPr="00C84E8A">
        <w:t xml:space="preserve">seasonal space heating energy efficiency of electric visibly glowing radiant local space heaters with a nominal heat output equal or below 1,2 kW shall not be less than </w:t>
      </w:r>
      <w:r w:rsidR="00A34DEE">
        <w:t>38,6</w:t>
      </w:r>
      <w:r w:rsidRPr="00C84E8A">
        <w:t xml:space="preserve"> %; </w:t>
      </w:r>
    </w:p>
    <w:p w14:paraId="4BB98F04" w14:textId="77777777" w:rsidR="00A34DEE" w:rsidRDefault="00C84E8A" w:rsidP="00B5618F">
      <w:pPr>
        <w:pStyle w:val="Text2"/>
        <w:numPr>
          <w:ilvl w:val="0"/>
          <w:numId w:val="27"/>
        </w:numPr>
        <w:ind w:left="2280"/>
      </w:pPr>
      <w:r w:rsidRPr="00C84E8A">
        <w:t>seasonal space heating energy efficiency of luminous local space heaters sha</w:t>
      </w:r>
      <w:r w:rsidR="00A34DEE">
        <w:t xml:space="preserve">ll not be less than 85 %; </w:t>
      </w:r>
    </w:p>
    <w:p w14:paraId="2BC12583" w14:textId="08BA4E83" w:rsidR="00C84E8A" w:rsidRDefault="00C84E8A" w:rsidP="00B5618F">
      <w:pPr>
        <w:pStyle w:val="Text2"/>
        <w:numPr>
          <w:ilvl w:val="0"/>
          <w:numId w:val="27"/>
        </w:numPr>
        <w:ind w:left="2280"/>
      </w:pPr>
      <w:r w:rsidRPr="00C84E8A">
        <w:t>seasonal space heating energy efficiency of tube local space heat</w:t>
      </w:r>
      <w:r w:rsidR="00A34DEE">
        <w:t>ers shall not be less than 74 %;</w:t>
      </w:r>
    </w:p>
    <w:p w14:paraId="6E62AF42" w14:textId="55D7A121" w:rsidR="00A34DEE" w:rsidRDefault="00A34DEE" w:rsidP="00B5618F">
      <w:pPr>
        <w:pStyle w:val="Text2"/>
        <w:numPr>
          <w:ilvl w:val="0"/>
          <w:numId w:val="27"/>
        </w:numPr>
        <w:ind w:left="2280"/>
      </w:pPr>
      <w:r w:rsidRPr="00A34DEE">
        <w:t>seasonal space heating energy efficiency of towel rail local space heaters with a nominal heat output above 250 W shall not be less than 44,6 %;</w:t>
      </w:r>
    </w:p>
    <w:p w14:paraId="7594688C" w14:textId="77777777" w:rsidR="00FB57A6" w:rsidRPr="000B7B05" w:rsidRDefault="00A34DEE" w:rsidP="00B5618F">
      <w:pPr>
        <w:pStyle w:val="ListParagraph"/>
        <w:numPr>
          <w:ilvl w:val="0"/>
          <w:numId w:val="27"/>
        </w:numPr>
        <w:ind w:left="2280"/>
        <w:rPr>
          <w:sz w:val="24"/>
        </w:rPr>
      </w:pPr>
      <w:proofErr w:type="gramStart"/>
      <w:r w:rsidRPr="000B7B05">
        <w:rPr>
          <w:sz w:val="24"/>
        </w:rPr>
        <w:t>seasonal</w:t>
      </w:r>
      <w:proofErr w:type="gramEnd"/>
      <w:r w:rsidRPr="000B7B05">
        <w:rPr>
          <w:sz w:val="24"/>
        </w:rPr>
        <w:t xml:space="preserve"> space heating energy efficiency of towel rail local space heaters with a nominal heat output equal or below 250 W shall not be less than 40,6 %.</w:t>
      </w:r>
    </w:p>
    <w:p w14:paraId="4C4D59E9" w14:textId="269AEB0F" w:rsidR="00A34DEE" w:rsidRDefault="00FB57A6" w:rsidP="0098398E">
      <w:pPr>
        <w:pStyle w:val="Text2"/>
      </w:pPr>
      <w:r w:rsidRPr="00FB57A6">
        <w:t xml:space="preserve">For products </w:t>
      </w:r>
      <w:r w:rsidR="0098398E">
        <w:t>that contain the control in the package,</w:t>
      </w:r>
      <w:r w:rsidRPr="00FB57A6">
        <w:t xml:space="preserve"> the ecodesign requirements appl</w:t>
      </w:r>
      <w:r>
        <w:t>y</w:t>
      </w:r>
      <w:r w:rsidRPr="00FB57A6">
        <w:t xml:space="preserve"> to the product tested with the controls contained in the </w:t>
      </w:r>
      <w:proofErr w:type="gramStart"/>
      <w:r w:rsidRPr="00FB57A6">
        <w:t>package.</w:t>
      </w:r>
      <w:r w:rsidR="00A34DEE">
        <w:t>’</w:t>
      </w:r>
      <w:r w:rsidR="007978BA">
        <w:t>;</w:t>
      </w:r>
      <w:proofErr w:type="gramEnd"/>
    </w:p>
    <w:p w14:paraId="1C0C92FA" w14:textId="19FE6686" w:rsidR="00A34DEE" w:rsidRDefault="003973E9" w:rsidP="00A34DEE">
      <w:pPr>
        <w:pStyle w:val="Point1letter"/>
      </w:pPr>
      <w:r>
        <w:t>t</w:t>
      </w:r>
      <w:r w:rsidR="00A34DEE">
        <w:t>he following is added to point 3(</w:t>
      </w:r>
      <w:r w:rsidR="007978BA">
        <w:t>a</w:t>
      </w:r>
      <w:r w:rsidR="00A34DEE">
        <w:t>)(i):</w:t>
      </w:r>
    </w:p>
    <w:p w14:paraId="4DD7B20A" w14:textId="6D1B537F" w:rsidR="00A34DEE" w:rsidRDefault="00A34DEE" w:rsidP="007978BA">
      <w:pPr>
        <w:pStyle w:val="Text2"/>
        <w:ind w:left="2160" w:hanging="743"/>
      </w:pPr>
      <w:r>
        <w:t>‘(</w:t>
      </w:r>
      <w:r w:rsidR="007978BA">
        <w:t>6</w:t>
      </w:r>
      <w:r>
        <w:t xml:space="preserve">) </w:t>
      </w:r>
      <w:r w:rsidR="007978BA">
        <w:tab/>
        <w:t xml:space="preserve">for </w:t>
      </w:r>
      <w:proofErr w:type="spellStart"/>
      <w:r w:rsidR="007978BA">
        <w:t>flueless</w:t>
      </w:r>
      <w:proofErr w:type="spellEnd"/>
      <w:r w:rsidR="007978BA">
        <w:t xml:space="preserve"> local space heaters, the NO</w:t>
      </w:r>
      <w:r w:rsidR="007978BA" w:rsidRPr="007978BA">
        <w:rPr>
          <w:vertAlign w:val="subscript"/>
        </w:rPr>
        <w:t>x</w:t>
      </w:r>
      <w:r w:rsidR="007978BA">
        <w:t xml:space="preserve"> emissions expressed in </w:t>
      </w:r>
      <w:r w:rsidR="007978BA" w:rsidRPr="007978BA">
        <w:rPr>
          <w:szCs w:val="24"/>
        </w:rPr>
        <w:t>mg/</w:t>
      </w:r>
      <w:proofErr w:type="spellStart"/>
      <w:r w:rsidR="007978BA" w:rsidRPr="007978BA">
        <w:rPr>
          <w:szCs w:val="24"/>
        </w:rPr>
        <w:t>kWh</w:t>
      </w:r>
      <w:r w:rsidR="007978BA" w:rsidRPr="007978BA">
        <w:rPr>
          <w:szCs w:val="24"/>
          <w:vertAlign w:val="subscript"/>
        </w:rPr>
        <w:t>input</w:t>
      </w:r>
      <w:proofErr w:type="spellEnd"/>
      <w:r w:rsidR="007978BA" w:rsidRPr="007978BA">
        <w:rPr>
          <w:szCs w:val="24"/>
        </w:rPr>
        <w:t xml:space="preserve"> based on GCV</w:t>
      </w:r>
      <w:r w:rsidR="007978BA">
        <w:t>, measured and calculated in accordance with Annex III;’;</w:t>
      </w:r>
    </w:p>
    <w:p w14:paraId="4C5F1497" w14:textId="5815ABB3" w:rsidR="007978BA" w:rsidRDefault="003973E9" w:rsidP="007978BA">
      <w:pPr>
        <w:pStyle w:val="Point1letter"/>
      </w:pPr>
      <w:r>
        <w:t>t</w:t>
      </w:r>
      <w:r w:rsidR="007978BA">
        <w:t>he following is added to point 3(a)</w:t>
      </w:r>
      <w:r w:rsidR="00FB57A6">
        <w:t>:</w:t>
      </w:r>
    </w:p>
    <w:p w14:paraId="56F9983D" w14:textId="1CB9D1CE" w:rsidR="00FB57A6" w:rsidRDefault="0098398E" w:rsidP="00FB57A6">
      <w:pPr>
        <w:pStyle w:val="Text2"/>
        <w:ind w:left="2137" w:hanging="720"/>
      </w:pPr>
      <w:r>
        <w:t>‘</w:t>
      </w:r>
      <w:r w:rsidR="00FB57A6">
        <w:t>(iii)</w:t>
      </w:r>
      <w:r w:rsidR="00FB57A6">
        <w:tab/>
      </w:r>
      <w:r w:rsidR="00FB57A6" w:rsidRPr="00E45618">
        <w:t xml:space="preserve">the instruction manual for end-users,  free  access  websites  of  manufacturers  and  the  product  packaging  shall  incorporate the  following in such a way to ensure clear  visibility and legibility and in a language easily understood by the end-users  of  the  Member  State  where  the  product  is  marketed: </w:t>
      </w:r>
    </w:p>
    <w:p w14:paraId="5601101B" w14:textId="56A70E25" w:rsidR="00FB57A6" w:rsidRPr="00FB57A6" w:rsidRDefault="00FB57A6" w:rsidP="00B5618F">
      <w:pPr>
        <w:pStyle w:val="Point3number"/>
        <w:numPr>
          <w:ilvl w:val="6"/>
          <w:numId w:val="28"/>
        </w:numPr>
        <w:ind w:hanging="391"/>
      </w:pPr>
      <w:r>
        <w:t xml:space="preserve">for products that incorporate the controls: </w:t>
      </w:r>
      <w:r w:rsidRPr="00FB57A6">
        <w:t xml:space="preserve">‘This product contains the controls necessary for use and installation in accordance with the </w:t>
      </w:r>
      <w:r w:rsidR="009F78FA">
        <w:t>e</w:t>
      </w:r>
      <w:r w:rsidR="009F78FA" w:rsidRPr="00FB57A6">
        <w:t xml:space="preserve">codesign </w:t>
      </w:r>
      <w:r w:rsidRPr="00FB57A6">
        <w:t xml:space="preserve">requirements’ </w:t>
      </w:r>
    </w:p>
    <w:p w14:paraId="582D8C34" w14:textId="77777777" w:rsidR="00FB57A6" w:rsidRDefault="00FB57A6" w:rsidP="00B5618F">
      <w:pPr>
        <w:pStyle w:val="Point3number"/>
        <w:numPr>
          <w:ilvl w:val="6"/>
          <w:numId w:val="28"/>
        </w:numPr>
        <w:ind w:hanging="391"/>
      </w:pPr>
      <w:r>
        <w:t xml:space="preserve">for products that do not incorporate the controls: </w:t>
      </w:r>
    </w:p>
    <w:p w14:paraId="01D3B2A8" w14:textId="686151BA" w:rsidR="00FB57A6" w:rsidRPr="00FB57A6" w:rsidRDefault="00FB57A6" w:rsidP="00FB57A6">
      <w:pPr>
        <w:pStyle w:val="Tiret4"/>
      </w:pPr>
      <w:r w:rsidRPr="00FB57A6">
        <w:t>‘This product cannot be installed or used alone, but need</w:t>
      </w:r>
      <w:r w:rsidR="009F78FA">
        <w:t>s</w:t>
      </w:r>
      <w:r w:rsidRPr="00FB57A6">
        <w:t xml:space="preserve"> an additional control to support th</w:t>
      </w:r>
      <w:r>
        <w:t>e</w:t>
      </w:r>
      <w:r w:rsidRPr="00FB57A6">
        <w:t xml:space="preserve"> necessary functions of the product.’ </w:t>
      </w:r>
    </w:p>
    <w:p w14:paraId="1C032E97" w14:textId="31526C38" w:rsidR="00FB57A6" w:rsidRPr="00FB57A6" w:rsidRDefault="0098398E" w:rsidP="0098398E">
      <w:pPr>
        <w:pStyle w:val="Tiret4"/>
      </w:pPr>
      <w:r>
        <w:t>‘T</w:t>
      </w:r>
      <w:r w:rsidR="00FB57A6" w:rsidRPr="00FB57A6">
        <w:t xml:space="preserve">his </w:t>
      </w:r>
      <w:proofErr w:type="gramStart"/>
      <w:r w:rsidR="00FB57A6" w:rsidRPr="00FB57A6">
        <w:t>products</w:t>
      </w:r>
      <w:proofErr w:type="gramEnd"/>
      <w:r w:rsidR="00FB57A6" w:rsidRPr="00FB57A6">
        <w:t xml:space="preserve"> is a [insert product category] and ne</w:t>
      </w:r>
      <w:r w:rsidR="00FB57A6">
        <w:t>e</w:t>
      </w:r>
      <w:r w:rsidR="00FB57A6" w:rsidRPr="00FB57A6">
        <w:t>d</w:t>
      </w:r>
      <w:r w:rsidR="00FB57A6">
        <w:t>s</w:t>
      </w:r>
      <w:r w:rsidR="00FB57A6" w:rsidRPr="00FB57A6">
        <w:t xml:space="preserve"> to be installed with a separate control in order to function. The control needs as a minimum the following functions: </w:t>
      </w:r>
    </w:p>
    <w:p w14:paraId="2993D516" w14:textId="77777777" w:rsidR="0098398E" w:rsidRDefault="00FB57A6" w:rsidP="0098398E">
      <w:pPr>
        <w:pStyle w:val="Text5"/>
      </w:pPr>
      <w:r w:rsidRPr="00FB57A6">
        <w:t>[</w:t>
      </w:r>
      <w:proofErr w:type="gramStart"/>
      <w:r w:rsidRPr="00FB57A6">
        <w:t>list</w:t>
      </w:r>
      <w:proofErr w:type="gramEnd"/>
      <w:r w:rsidRPr="00FB57A6">
        <w:t xml:space="preserve"> of functions necessary to comply with the ecodesign requirements]</w:t>
      </w:r>
      <w:r w:rsidR="0098398E">
        <w:t xml:space="preserve"> </w:t>
      </w:r>
    </w:p>
    <w:p w14:paraId="411F06BC" w14:textId="5B22007D" w:rsidR="00FB57A6" w:rsidRDefault="0098398E" w:rsidP="0098398E">
      <w:pPr>
        <w:pStyle w:val="Text5"/>
      </w:pPr>
      <w:proofErr w:type="gramStart"/>
      <w:r>
        <w:t>to</w:t>
      </w:r>
      <w:proofErr w:type="gramEnd"/>
      <w:r>
        <w:t xml:space="preserve"> achieve the energy efficiency class claimed on the energy label.’;</w:t>
      </w:r>
    </w:p>
    <w:p w14:paraId="4279B3AC" w14:textId="626FDBE7" w:rsidR="0098398E" w:rsidRDefault="003973E9" w:rsidP="0098398E">
      <w:pPr>
        <w:pStyle w:val="Point1letter"/>
      </w:pPr>
      <w:r>
        <w:t>t</w:t>
      </w:r>
      <w:r w:rsidR="0098398E">
        <w:t>he following is added to point 3:</w:t>
      </w:r>
    </w:p>
    <w:p w14:paraId="097052D7" w14:textId="4C198679" w:rsidR="0098398E" w:rsidRDefault="0098398E" w:rsidP="0098398E">
      <w:pPr>
        <w:pStyle w:val="Text2"/>
        <w:ind w:left="2160" w:hanging="743"/>
      </w:pPr>
      <w:r>
        <w:t>‘(</w:t>
      </w:r>
      <w:proofErr w:type="gramStart"/>
      <w:r>
        <w:t>c</w:t>
      </w:r>
      <w:proofErr w:type="gramEnd"/>
      <w:r>
        <w:t>)</w:t>
      </w:r>
      <w:r>
        <w:tab/>
      </w:r>
      <w:r w:rsidRPr="0098398E">
        <w:t xml:space="preserve">From </w:t>
      </w:r>
      <w:r>
        <w:t>1 January 2022</w:t>
      </w:r>
      <w:r w:rsidRPr="0098398E">
        <w:t xml:space="preserve"> the following product information </w:t>
      </w:r>
      <w:r>
        <w:t>for</w:t>
      </w:r>
      <w:r w:rsidRPr="0098398E">
        <w:t xml:space="preserve"> all </w:t>
      </w:r>
      <w:r>
        <w:t xml:space="preserve">the </w:t>
      </w:r>
      <w:r w:rsidRPr="0098398E">
        <w:t xml:space="preserve">controls for local space heaters shall be provided: </w:t>
      </w:r>
    </w:p>
    <w:p w14:paraId="3BB7E559" w14:textId="29CA1746" w:rsidR="0098398E" w:rsidRPr="0098398E" w:rsidRDefault="0098398E" w:rsidP="00B5618F">
      <w:pPr>
        <w:pStyle w:val="Text3"/>
        <w:numPr>
          <w:ilvl w:val="0"/>
          <w:numId w:val="29"/>
        </w:numPr>
        <w:ind w:hanging="544"/>
      </w:pPr>
      <w:r>
        <w:t>‘T</w:t>
      </w:r>
      <w:r w:rsidRPr="0098398E">
        <w:t>his control is suitable for local heaters of the category [insert product category]</w:t>
      </w:r>
      <w:r>
        <w:t>.’</w:t>
      </w:r>
    </w:p>
    <w:p w14:paraId="5214F076" w14:textId="14DF06BD" w:rsidR="0098398E" w:rsidRPr="0098398E" w:rsidRDefault="0098398E" w:rsidP="00B5618F">
      <w:pPr>
        <w:pStyle w:val="Text3"/>
        <w:numPr>
          <w:ilvl w:val="0"/>
          <w:numId w:val="29"/>
        </w:numPr>
        <w:ind w:hanging="544"/>
      </w:pPr>
      <w:r>
        <w:t>‘T</w:t>
      </w:r>
      <w:r w:rsidRPr="0098398E">
        <w:t xml:space="preserve">his controls has the following functions: </w:t>
      </w:r>
    </w:p>
    <w:p w14:paraId="0A48B676" w14:textId="63A20035" w:rsidR="0098398E" w:rsidRDefault="0098398E" w:rsidP="0098398E">
      <w:pPr>
        <w:pStyle w:val="Text4"/>
        <w:ind w:left="2704"/>
      </w:pPr>
      <w:r>
        <w:t>[</w:t>
      </w:r>
      <w:proofErr w:type="gramStart"/>
      <w:r>
        <w:t>list</w:t>
      </w:r>
      <w:proofErr w:type="gramEnd"/>
      <w:r>
        <w:t xml:space="preserve"> of functions necessary to comply with the ecodesign requirements].’;</w:t>
      </w:r>
    </w:p>
    <w:p w14:paraId="709ADAD6" w14:textId="6A362B45" w:rsidR="0098398E" w:rsidRDefault="0098398E" w:rsidP="0098398E">
      <w:pPr>
        <w:pStyle w:val="Point0number"/>
      </w:pPr>
      <w:r>
        <w:t>Annex III is amended as follows:</w:t>
      </w:r>
    </w:p>
    <w:p w14:paraId="2CF62C77" w14:textId="4B32FE0D" w:rsidR="004C1309" w:rsidRDefault="003973E9" w:rsidP="00625B2F">
      <w:pPr>
        <w:pStyle w:val="Point1letter"/>
      </w:pPr>
      <w:r>
        <w:t>p</w:t>
      </w:r>
      <w:r w:rsidR="00B950DA">
        <w:t xml:space="preserve">oint 5(a) is </w:t>
      </w:r>
      <w:r w:rsidR="00625B2F">
        <w:t>replaced by the following:</w:t>
      </w:r>
    </w:p>
    <w:p w14:paraId="7C33CAA0" w14:textId="1DD20070" w:rsidR="00625B2F" w:rsidRDefault="00625B2F" w:rsidP="00625B2F">
      <w:pPr>
        <w:pStyle w:val="Point2letter"/>
        <w:numPr>
          <w:ilvl w:val="0"/>
          <w:numId w:val="0"/>
        </w:numPr>
        <w:ind w:left="1984" w:hanging="567"/>
      </w:pPr>
      <w:r>
        <w:t>‘(a)</w:t>
      </w:r>
      <w:r>
        <w:tab/>
        <w:t xml:space="preserve">The seasonal space heating energy efficiency of all local space heaters except commercial local space heaters is defined as: </w:t>
      </w:r>
    </w:p>
    <w:p w14:paraId="43BF1CBF" w14:textId="0D7E9F7A" w:rsidR="00625B2F" w:rsidRDefault="00BC5DF9" w:rsidP="00625B2F">
      <w:pPr>
        <w:pStyle w:val="Text3"/>
        <w:jc w:val="center"/>
      </w:pPr>
      <w:proofErr w:type="gramStart"/>
      <w:r w:rsidRPr="00BC5DF9">
        <w:rPr>
          <w:i/>
          <w:iCs/>
          <w:szCs w:val="24"/>
        </w:rPr>
        <w:t>η</w:t>
      </w:r>
      <w:r>
        <w:rPr>
          <w:i/>
          <w:iCs/>
          <w:position w:val="-6"/>
          <w:szCs w:val="24"/>
          <w:vertAlign w:val="subscript"/>
        </w:rPr>
        <w:t>S</w:t>
      </w:r>
      <w:proofErr w:type="gramEnd"/>
      <w:r w:rsidRPr="00BC5DF9">
        <w:rPr>
          <w:i/>
          <w:iCs/>
          <w:szCs w:val="24"/>
        </w:rPr>
        <w:t xml:space="preserve">  </w:t>
      </w:r>
      <w:r>
        <w:rPr>
          <w:i/>
          <w:iCs/>
          <w:sz w:val="11"/>
          <w:szCs w:val="11"/>
        </w:rPr>
        <w:t xml:space="preserve"> </w:t>
      </w:r>
      <w:r>
        <w:t xml:space="preserve">= </w:t>
      </w:r>
      <w:r w:rsidRPr="00BC5DF9">
        <w:rPr>
          <w:i/>
          <w:iCs/>
          <w:szCs w:val="24"/>
        </w:rPr>
        <w:t>η</w:t>
      </w:r>
      <w:proofErr w:type="spellStart"/>
      <w:r w:rsidRPr="00BC5DF9">
        <w:rPr>
          <w:i/>
          <w:iCs/>
          <w:position w:val="-6"/>
          <w:szCs w:val="24"/>
          <w:vertAlign w:val="subscript"/>
        </w:rPr>
        <w:t>S,on</w:t>
      </w:r>
      <w:proofErr w:type="spellEnd"/>
      <w:r w:rsidRPr="00BC5DF9">
        <w:rPr>
          <w:i/>
          <w:iCs/>
          <w:szCs w:val="24"/>
        </w:rPr>
        <w:t xml:space="preserve">  </w:t>
      </w:r>
      <w:r w:rsidR="00625B2F">
        <w:t xml:space="preserve">– 10 % + </w:t>
      </w:r>
      <w:r w:rsidR="00625B2F">
        <w:rPr>
          <w:i/>
          <w:iCs/>
        </w:rPr>
        <w:t>F</w:t>
      </w:r>
      <w:r w:rsidR="00625B2F">
        <w:t xml:space="preserve">(1) + </w:t>
      </w:r>
      <w:r w:rsidR="00625B2F">
        <w:rPr>
          <w:i/>
          <w:iCs/>
        </w:rPr>
        <w:t>F</w:t>
      </w:r>
      <w:r w:rsidR="00625B2F">
        <w:t xml:space="preserve">(2) + </w:t>
      </w:r>
      <w:r w:rsidR="00625B2F">
        <w:rPr>
          <w:i/>
          <w:iCs/>
        </w:rPr>
        <w:t>F</w:t>
      </w:r>
      <w:r w:rsidR="00625B2F">
        <w:t xml:space="preserve">(3) – </w:t>
      </w:r>
      <w:r w:rsidR="00625B2F">
        <w:rPr>
          <w:i/>
          <w:iCs/>
        </w:rPr>
        <w:t>F</w:t>
      </w:r>
      <w:r w:rsidR="00625B2F">
        <w:t xml:space="preserve">(4) – </w:t>
      </w:r>
      <w:r w:rsidR="00625B2F">
        <w:rPr>
          <w:i/>
          <w:iCs/>
        </w:rPr>
        <w:t>F</w:t>
      </w:r>
      <w:r w:rsidR="00625B2F">
        <w:t>(5)</w:t>
      </w:r>
    </w:p>
    <w:p w14:paraId="19F689A8" w14:textId="77777777" w:rsidR="00625B2F" w:rsidRDefault="00625B2F" w:rsidP="00625B2F">
      <w:pPr>
        <w:pStyle w:val="Text3"/>
      </w:pPr>
      <w:r>
        <w:t xml:space="preserve">The seasonal space heating energy efficiency of commercial local space heaters is defined as: </w:t>
      </w:r>
    </w:p>
    <w:p w14:paraId="1C4B135F" w14:textId="40DFAEA9" w:rsidR="00625B2F" w:rsidRDefault="00BC5DF9" w:rsidP="00625B2F">
      <w:pPr>
        <w:pStyle w:val="Text3"/>
        <w:jc w:val="center"/>
      </w:pPr>
      <w:proofErr w:type="gramStart"/>
      <w:r w:rsidRPr="00BC5DF9">
        <w:rPr>
          <w:i/>
          <w:iCs/>
          <w:szCs w:val="24"/>
        </w:rPr>
        <w:t>η</w:t>
      </w:r>
      <w:r>
        <w:rPr>
          <w:i/>
          <w:iCs/>
          <w:position w:val="-6"/>
          <w:szCs w:val="24"/>
          <w:vertAlign w:val="subscript"/>
        </w:rPr>
        <w:t>S</w:t>
      </w:r>
      <w:proofErr w:type="gramEnd"/>
      <w:r w:rsidRPr="00BC5DF9">
        <w:rPr>
          <w:i/>
          <w:iCs/>
          <w:szCs w:val="24"/>
        </w:rPr>
        <w:t xml:space="preserve">  </w:t>
      </w:r>
      <w:r w:rsidR="00625B2F">
        <w:rPr>
          <w:i/>
          <w:iCs/>
          <w:sz w:val="11"/>
          <w:szCs w:val="11"/>
        </w:rPr>
        <w:t xml:space="preserve"> </w:t>
      </w:r>
      <w:r w:rsidR="00625B2F">
        <w:t xml:space="preserve">= </w:t>
      </w:r>
      <w:r w:rsidRPr="00BC5DF9">
        <w:rPr>
          <w:i/>
          <w:iCs/>
          <w:szCs w:val="24"/>
        </w:rPr>
        <w:t>η</w:t>
      </w:r>
      <w:proofErr w:type="spellStart"/>
      <w:r w:rsidRPr="00BC5DF9">
        <w:rPr>
          <w:i/>
          <w:iCs/>
          <w:position w:val="-6"/>
          <w:szCs w:val="24"/>
          <w:vertAlign w:val="subscript"/>
        </w:rPr>
        <w:t>S,on</w:t>
      </w:r>
      <w:proofErr w:type="spellEnd"/>
      <w:r w:rsidRPr="00BC5DF9">
        <w:rPr>
          <w:i/>
          <w:iCs/>
          <w:szCs w:val="24"/>
        </w:rPr>
        <w:t xml:space="preserve">  </w:t>
      </w:r>
      <w:r w:rsidR="00625B2F">
        <w:t xml:space="preserve">– </w:t>
      </w:r>
      <w:r w:rsidR="00625B2F">
        <w:rPr>
          <w:i/>
          <w:iCs/>
        </w:rPr>
        <w:t>F</w:t>
      </w:r>
      <w:r w:rsidR="00625B2F">
        <w:t xml:space="preserve">(1) – </w:t>
      </w:r>
      <w:r w:rsidR="00625B2F">
        <w:rPr>
          <w:i/>
          <w:iCs/>
        </w:rPr>
        <w:t>F</w:t>
      </w:r>
      <w:r w:rsidR="00625B2F">
        <w:t>(4)</w:t>
      </w:r>
    </w:p>
    <w:p w14:paraId="371B6539" w14:textId="77777777" w:rsidR="00625B2F" w:rsidRDefault="00625B2F" w:rsidP="00625B2F">
      <w:pPr>
        <w:pStyle w:val="Text3"/>
      </w:pPr>
      <w:r>
        <w:t xml:space="preserve">Where: </w:t>
      </w:r>
    </w:p>
    <w:p w14:paraId="6026C77B" w14:textId="4874F6FD" w:rsidR="00625B2F" w:rsidRDefault="00625B2F" w:rsidP="00625B2F">
      <w:pPr>
        <w:pStyle w:val="Tiret3"/>
      </w:pPr>
      <w:r w:rsidRPr="003973E9">
        <w:rPr>
          <w:i/>
          <w:iCs/>
          <w:szCs w:val="24"/>
        </w:rPr>
        <w:t>η</w:t>
      </w:r>
      <w:proofErr w:type="spellStart"/>
      <w:r w:rsidRPr="003973E9">
        <w:rPr>
          <w:i/>
          <w:iCs/>
          <w:position w:val="-6"/>
          <w:szCs w:val="24"/>
          <w:vertAlign w:val="subscript"/>
        </w:rPr>
        <w:t>S,on</w:t>
      </w:r>
      <w:proofErr w:type="spellEnd"/>
      <w:r w:rsidRPr="003973E9">
        <w:rPr>
          <w:i/>
          <w:iCs/>
          <w:szCs w:val="24"/>
        </w:rPr>
        <w:t xml:space="preserve"> </w:t>
      </w:r>
      <w:r>
        <w:t>is the seasonal space heating energy efficiency in active mode, expressed in %, calculated as set out in point 5(b);</w:t>
      </w:r>
    </w:p>
    <w:p w14:paraId="665C89C8" w14:textId="77777777" w:rsidR="00625B2F" w:rsidRDefault="00625B2F" w:rsidP="00625B2F">
      <w:pPr>
        <w:pStyle w:val="Tiret3"/>
      </w:pPr>
      <w:r>
        <w:rPr>
          <w:i/>
          <w:iCs/>
        </w:rPr>
        <w:t>F</w:t>
      </w:r>
      <w:r>
        <w:t xml:space="preserve">(1) is a correction factor accounting for a positive contribution to the seasonal space heating energy efficiency of electric storage local space heaters due to adjusted contributions for options for heat storage and output; and a negative contribution to seasonal space heating efficiency for commercial local space heaters due to adjusted contributions for options for the heat output, expressed in %; </w:t>
      </w:r>
    </w:p>
    <w:p w14:paraId="7A38BA61" w14:textId="77777777" w:rsidR="00625B2F" w:rsidRDefault="00625B2F" w:rsidP="00625B2F">
      <w:pPr>
        <w:pStyle w:val="Tiret3"/>
      </w:pPr>
      <w:r>
        <w:rPr>
          <w:i/>
          <w:iCs/>
        </w:rPr>
        <w:t>F</w:t>
      </w:r>
      <w:r>
        <w:t xml:space="preserve">(2) is a correction factor accounting for a positive contribution to the seasonal space heating energy efficiency due to adjusted contributions of controls of indoor heating comfort, the values of which are mutually exclusive, cannot be added to each other, expressed in %; </w:t>
      </w:r>
    </w:p>
    <w:p w14:paraId="4BAE7D5E" w14:textId="77777777" w:rsidR="00625B2F" w:rsidRDefault="00625B2F" w:rsidP="00625B2F">
      <w:pPr>
        <w:pStyle w:val="Tiret3"/>
      </w:pPr>
      <w:r>
        <w:rPr>
          <w:i/>
          <w:iCs/>
        </w:rPr>
        <w:t>F</w:t>
      </w:r>
      <w:r>
        <w:t xml:space="preserve">(3) is a correction factor accounting for a positive contribution to the seasonal space heating energy efficiency due to adjusted contributions of controls for indoor heating comfort the values of which can be added to each other, expressed in %; </w:t>
      </w:r>
    </w:p>
    <w:p w14:paraId="793805FD" w14:textId="77777777" w:rsidR="00625B2F" w:rsidRDefault="00625B2F" w:rsidP="00625B2F">
      <w:pPr>
        <w:pStyle w:val="Tiret3"/>
      </w:pPr>
      <w:r>
        <w:rPr>
          <w:i/>
          <w:iCs/>
        </w:rPr>
        <w:t>F</w:t>
      </w:r>
      <w:r>
        <w:t xml:space="preserve">(4) is a correction factor accounting for a negative contribution to the seasonal space heating energy efficiency by auxiliary electricity consumption, expressed in %; </w:t>
      </w:r>
    </w:p>
    <w:p w14:paraId="4099DAC6" w14:textId="7885B560" w:rsidR="00625B2F" w:rsidRDefault="00625B2F" w:rsidP="00625B2F">
      <w:pPr>
        <w:pStyle w:val="Tiret3"/>
      </w:pPr>
      <w:r>
        <w:rPr>
          <w:i/>
          <w:iCs/>
        </w:rPr>
        <w:t>F</w:t>
      </w:r>
      <w:r>
        <w:t>(5) is a correction factor accounting for a negative contribution to the seasonal space heating energy efficiency by energy consumption of a permanent pilot flame, expressed in %.’;</w:t>
      </w:r>
    </w:p>
    <w:p w14:paraId="4D7C5197" w14:textId="2BBF5F79" w:rsidR="003C30CB" w:rsidRDefault="003C30CB" w:rsidP="003C30CB">
      <w:pPr>
        <w:pStyle w:val="Point1letter"/>
      </w:pPr>
      <w:r>
        <w:t>Point 5(b) is replaced by the following:</w:t>
      </w:r>
    </w:p>
    <w:p w14:paraId="6EDCE7F5" w14:textId="77777777" w:rsidR="003C30CB" w:rsidRDefault="003C30CB" w:rsidP="003C30CB">
      <w:pPr>
        <w:pStyle w:val="Text2"/>
        <w:ind w:left="2160" w:hanging="743"/>
      </w:pPr>
      <w:r>
        <w:t>‘(</w:t>
      </w:r>
      <w:proofErr w:type="gramStart"/>
      <w:r>
        <w:t>b</w:t>
      </w:r>
      <w:proofErr w:type="gramEnd"/>
      <w:r>
        <w:t>)</w:t>
      </w:r>
      <w:r>
        <w:tab/>
        <w:t xml:space="preserve">The seasonal space heating energy efficiency in active mode is calculated as: </w:t>
      </w:r>
    </w:p>
    <w:p w14:paraId="21333310" w14:textId="77777777" w:rsidR="003C30CB" w:rsidRDefault="003C30CB" w:rsidP="003C30CB">
      <w:pPr>
        <w:pStyle w:val="Text2"/>
      </w:pPr>
      <w:r>
        <w:t xml:space="preserve">For all local space heaters except electric local space heaters and commercial local space heaters: </w:t>
      </w:r>
    </w:p>
    <w:p w14:paraId="0C7F9319" w14:textId="40E858AD" w:rsidR="00471E5F" w:rsidRPr="00BC5DF9" w:rsidRDefault="00471E5F" w:rsidP="00471E5F">
      <w:pPr>
        <w:pStyle w:val="Text2"/>
        <w:jc w:val="center"/>
        <w:rPr>
          <w:iCs/>
          <w:szCs w:val="24"/>
        </w:rPr>
      </w:pPr>
      <w:proofErr w:type="gramStart"/>
      <w:r w:rsidRPr="00BC5DF9">
        <w:rPr>
          <w:i/>
          <w:iCs/>
          <w:szCs w:val="24"/>
        </w:rPr>
        <w:t>η</w:t>
      </w:r>
      <w:proofErr w:type="spellStart"/>
      <w:r w:rsidRPr="00BC5DF9">
        <w:rPr>
          <w:i/>
          <w:iCs/>
          <w:position w:val="-6"/>
          <w:szCs w:val="24"/>
          <w:vertAlign w:val="subscript"/>
        </w:rPr>
        <w:t>S,</w:t>
      </w:r>
      <w:proofErr w:type="gramEnd"/>
      <w:r w:rsidRPr="00BC5DF9">
        <w:rPr>
          <w:i/>
          <w:iCs/>
          <w:position w:val="-6"/>
          <w:szCs w:val="24"/>
          <w:vertAlign w:val="subscript"/>
        </w:rPr>
        <w:t>on</w:t>
      </w:r>
      <w:proofErr w:type="spellEnd"/>
      <w:r w:rsidRPr="00BC5DF9">
        <w:rPr>
          <w:i/>
          <w:iCs/>
          <w:szCs w:val="24"/>
        </w:rPr>
        <w:t xml:space="preserve"> </w:t>
      </w:r>
      <w:r w:rsidR="003C30CB" w:rsidRPr="00BC5DF9">
        <w:rPr>
          <w:i/>
          <w:iCs/>
          <w:szCs w:val="24"/>
        </w:rPr>
        <w:t xml:space="preserve"> </w:t>
      </w:r>
      <w:r w:rsidR="003C30CB" w:rsidRPr="00BC5DF9">
        <w:rPr>
          <w:szCs w:val="24"/>
        </w:rPr>
        <w:t xml:space="preserve">= </w:t>
      </w:r>
      <w:proofErr w:type="spellStart"/>
      <w:r w:rsidRPr="00BC5DF9">
        <w:rPr>
          <w:i/>
          <w:iCs/>
          <w:szCs w:val="24"/>
        </w:rPr>
        <w:t>η</w:t>
      </w:r>
      <w:r w:rsidRPr="00BC5DF9">
        <w:rPr>
          <w:i/>
          <w:iCs/>
          <w:szCs w:val="24"/>
          <w:vertAlign w:val="subscript"/>
        </w:rPr>
        <w:t>th,on</w:t>
      </w:r>
      <w:proofErr w:type="spellEnd"/>
    </w:p>
    <w:p w14:paraId="30270393" w14:textId="32EEC16F" w:rsidR="003C30CB" w:rsidRDefault="003C30CB" w:rsidP="003C30CB">
      <w:pPr>
        <w:pStyle w:val="Text2"/>
        <w:jc w:val="center"/>
        <w:rPr>
          <w:i/>
          <w:iCs/>
          <w:sz w:val="11"/>
          <w:szCs w:val="11"/>
        </w:rPr>
      </w:pPr>
    </w:p>
    <w:p w14:paraId="553858C4" w14:textId="77777777" w:rsidR="003C30CB" w:rsidRDefault="003C30CB" w:rsidP="003C30CB">
      <w:pPr>
        <w:pStyle w:val="Text2"/>
      </w:pPr>
      <w:r>
        <w:t xml:space="preserve">Where: </w:t>
      </w:r>
    </w:p>
    <w:p w14:paraId="14C5A67A" w14:textId="77777777" w:rsidR="003C30CB" w:rsidRDefault="003C30CB" w:rsidP="003C30CB">
      <w:pPr>
        <w:pStyle w:val="Tiret2"/>
      </w:pPr>
      <w:proofErr w:type="spellStart"/>
      <w:proofErr w:type="gramStart"/>
      <w:r>
        <w:rPr>
          <w:i/>
          <w:iCs/>
        </w:rPr>
        <w:t>η</w:t>
      </w:r>
      <w:r>
        <w:rPr>
          <w:i/>
          <w:iCs/>
          <w:sz w:val="11"/>
          <w:szCs w:val="11"/>
        </w:rPr>
        <w:t>th,</w:t>
      </w:r>
      <w:proofErr w:type="gramEnd"/>
      <w:r>
        <w:rPr>
          <w:i/>
          <w:iCs/>
          <w:sz w:val="11"/>
          <w:szCs w:val="11"/>
        </w:rPr>
        <w:t>nom</w:t>
      </w:r>
      <w:proofErr w:type="spellEnd"/>
      <w:r>
        <w:rPr>
          <w:i/>
          <w:iCs/>
          <w:sz w:val="11"/>
          <w:szCs w:val="11"/>
        </w:rPr>
        <w:t xml:space="preserve"> </w:t>
      </w:r>
      <w:r>
        <w:t xml:space="preserve">is the useful efficiency at nominal heat output, based on NCV. </w:t>
      </w:r>
    </w:p>
    <w:p w14:paraId="04ECC9FE" w14:textId="77777777" w:rsidR="003C30CB" w:rsidRDefault="003C30CB" w:rsidP="003C30CB">
      <w:pPr>
        <w:pStyle w:val="Text2"/>
      </w:pPr>
      <w:r>
        <w:t>For electric local space heaters:</w:t>
      </w:r>
    </w:p>
    <w:p w14:paraId="634AA6AA" w14:textId="19AFDC54" w:rsidR="003C30CB" w:rsidRPr="00BC5DF9" w:rsidRDefault="003C30CB" w:rsidP="003C30CB">
      <w:pPr>
        <w:pStyle w:val="Text2"/>
        <w:jc w:val="center"/>
        <w:rPr>
          <w:iCs/>
          <w:szCs w:val="24"/>
        </w:rPr>
      </w:pPr>
      <w:proofErr w:type="gramStart"/>
      <w:r w:rsidRPr="00BC5DF9">
        <w:rPr>
          <w:i/>
          <w:iCs/>
          <w:szCs w:val="24"/>
        </w:rPr>
        <w:t>η</w:t>
      </w:r>
      <w:proofErr w:type="spellStart"/>
      <w:r w:rsidRPr="00BC5DF9">
        <w:rPr>
          <w:i/>
          <w:iCs/>
          <w:position w:val="-6"/>
          <w:szCs w:val="24"/>
          <w:vertAlign w:val="subscript"/>
        </w:rPr>
        <w:t>S,</w:t>
      </w:r>
      <w:proofErr w:type="gramEnd"/>
      <w:r w:rsidRPr="00BC5DF9">
        <w:rPr>
          <w:i/>
          <w:iCs/>
          <w:position w:val="-6"/>
          <w:szCs w:val="24"/>
          <w:vertAlign w:val="subscript"/>
        </w:rPr>
        <w:t>on</w:t>
      </w:r>
      <w:proofErr w:type="spellEnd"/>
      <w:r w:rsidRPr="00BC5DF9">
        <w:rPr>
          <w:szCs w:val="24"/>
          <w:vertAlign w:val="subscript"/>
        </w:rPr>
        <w:t xml:space="preserve"> </w:t>
      </w:r>
      <w:r>
        <w:t xml:space="preserve">= </w:t>
      </w:r>
      <w:r>
        <w:rPr>
          <w:i/>
          <w:iCs/>
        </w:rPr>
        <w:t>CC</w:t>
      </w:r>
      <w:r w:rsidRPr="003C30CB">
        <w:rPr>
          <w:iCs/>
          <w:vertAlign w:val="superscript"/>
        </w:rPr>
        <w:t>-1</w:t>
      </w:r>
      <w:r>
        <w:rPr>
          <w:rFonts w:ascii="Tahoma" w:hAnsi="Tahoma" w:cs="Tahoma"/>
        </w:rPr>
        <w:t xml:space="preserve"> </w:t>
      </w:r>
      <w:r w:rsidR="00471E5F" w:rsidRPr="00BC5DF9">
        <w:t>·</w:t>
      </w:r>
      <w:r w:rsidRPr="00BC5DF9">
        <w:t xml:space="preserve"> </w:t>
      </w:r>
      <w:proofErr w:type="spellStart"/>
      <w:r w:rsidRPr="00BC5DF9">
        <w:rPr>
          <w:i/>
          <w:iCs/>
          <w:szCs w:val="24"/>
        </w:rPr>
        <w:t>η</w:t>
      </w:r>
      <w:r w:rsidRPr="00BC5DF9">
        <w:rPr>
          <w:i/>
          <w:iCs/>
          <w:szCs w:val="24"/>
          <w:vertAlign w:val="subscript"/>
        </w:rPr>
        <w:t>th,on</w:t>
      </w:r>
      <w:proofErr w:type="spellEnd"/>
    </w:p>
    <w:p w14:paraId="663768FD" w14:textId="77777777" w:rsidR="003C30CB" w:rsidRDefault="003C30CB" w:rsidP="003C30CB">
      <w:pPr>
        <w:pStyle w:val="Text2"/>
      </w:pPr>
      <w:r>
        <w:t xml:space="preserve">Where: </w:t>
      </w:r>
    </w:p>
    <w:p w14:paraId="7326FDE1" w14:textId="77777777" w:rsidR="003C30CB" w:rsidRDefault="003C30CB" w:rsidP="003C30CB">
      <w:pPr>
        <w:pStyle w:val="Tiret2"/>
      </w:pPr>
      <w:r>
        <w:rPr>
          <w:i/>
          <w:iCs/>
        </w:rPr>
        <w:t xml:space="preserve">CC </w:t>
      </w:r>
      <w:r>
        <w:t xml:space="preserve">is the electric to primary energy ‘conversion coefficient’. </w:t>
      </w:r>
    </w:p>
    <w:p w14:paraId="230634B8" w14:textId="77777777" w:rsidR="003C30CB" w:rsidRDefault="003C30CB" w:rsidP="003C30CB">
      <w:pPr>
        <w:pStyle w:val="Tiret2"/>
      </w:pPr>
      <w:proofErr w:type="spellStart"/>
      <w:proofErr w:type="gramStart"/>
      <w:r>
        <w:rPr>
          <w:i/>
          <w:iCs/>
        </w:rPr>
        <w:t>η</w:t>
      </w:r>
      <w:r>
        <w:rPr>
          <w:i/>
          <w:iCs/>
          <w:sz w:val="11"/>
          <w:szCs w:val="11"/>
        </w:rPr>
        <w:t>th,</w:t>
      </w:r>
      <w:proofErr w:type="gramEnd"/>
      <w:r>
        <w:rPr>
          <w:i/>
          <w:iCs/>
          <w:sz w:val="11"/>
          <w:szCs w:val="11"/>
        </w:rPr>
        <w:t>on</w:t>
      </w:r>
      <w:proofErr w:type="spellEnd"/>
      <w:r>
        <w:rPr>
          <w:i/>
          <w:iCs/>
          <w:sz w:val="11"/>
          <w:szCs w:val="11"/>
        </w:rPr>
        <w:t xml:space="preserve"> </w:t>
      </w:r>
      <w:r>
        <w:t xml:space="preserve">for electric local space heaters is 100 %. </w:t>
      </w:r>
    </w:p>
    <w:p w14:paraId="0D2B7686" w14:textId="77777777" w:rsidR="003C30CB" w:rsidRDefault="003C30CB" w:rsidP="003C30CB">
      <w:pPr>
        <w:pStyle w:val="Text2"/>
      </w:pPr>
      <w:r>
        <w:t xml:space="preserve">For commercial local space heaters: </w:t>
      </w:r>
    </w:p>
    <w:p w14:paraId="3736804D" w14:textId="5B672409" w:rsidR="003C30CB" w:rsidRPr="00BC5DF9" w:rsidRDefault="003C30CB" w:rsidP="003C30CB">
      <w:pPr>
        <w:pStyle w:val="Text2"/>
        <w:jc w:val="center"/>
        <w:rPr>
          <w:i/>
          <w:iCs/>
          <w:szCs w:val="24"/>
        </w:rPr>
      </w:pPr>
      <w:proofErr w:type="gramStart"/>
      <w:r w:rsidRPr="00BC5DF9">
        <w:rPr>
          <w:i/>
          <w:iCs/>
          <w:szCs w:val="24"/>
        </w:rPr>
        <w:t>η</w:t>
      </w:r>
      <w:proofErr w:type="spellStart"/>
      <w:r w:rsidRPr="00BC5DF9">
        <w:rPr>
          <w:i/>
          <w:iCs/>
          <w:position w:val="-6"/>
          <w:szCs w:val="24"/>
          <w:vertAlign w:val="subscript"/>
        </w:rPr>
        <w:t>S,</w:t>
      </w:r>
      <w:proofErr w:type="gramEnd"/>
      <w:r w:rsidRPr="00BC5DF9">
        <w:rPr>
          <w:i/>
          <w:iCs/>
          <w:position w:val="-6"/>
          <w:szCs w:val="24"/>
          <w:vertAlign w:val="subscript"/>
        </w:rPr>
        <w:t>on</w:t>
      </w:r>
      <w:proofErr w:type="spellEnd"/>
      <w:r w:rsidRPr="00BC5DF9">
        <w:rPr>
          <w:i/>
          <w:iCs/>
          <w:szCs w:val="24"/>
        </w:rPr>
        <w:t xml:space="preserve"> </w:t>
      </w:r>
      <w:r w:rsidRPr="00BC5DF9">
        <w:rPr>
          <w:szCs w:val="24"/>
        </w:rPr>
        <w:t xml:space="preserve">= </w:t>
      </w:r>
      <w:r w:rsidRPr="00BC5DF9">
        <w:rPr>
          <w:i/>
          <w:iCs/>
          <w:szCs w:val="24"/>
        </w:rPr>
        <w:t>η</w:t>
      </w:r>
      <w:proofErr w:type="spellStart"/>
      <w:r w:rsidRPr="00BC5DF9">
        <w:rPr>
          <w:i/>
          <w:iCs/>
          <w:position w:val="-6"/>
          <w:szCs w:val="24"/>
          <w:vertAlign w:val="subscript"/>
        </w:rPr>
        <w:t>S,</w:t>
      </w:r>
      <w:r w:rsidR="00471E5F" w:rsidRPr="00BC5DF9">
        <w:rPr>
          <w:i/>
          <w:iCs/>
          <w:position w:val="-6"/>
          <w:szCs w:val="24"/>
          <w:vertAlign w:val="subscript"/>
        </w:rPr>
        <w:t>th</w:t>
      </w:r>
      <w:proofErr w:type="spellEnd"/>
      <w:r w:rsidRPr="00BC5DF9">
        <w:rPr>
          <w:i/>
          <w:iCs/>
          <w:szCs w:val="24"/>
        </w:rPr>
        <w:t xml:space="preserve"> </w:t>
      </w:r>
      <w:r w:rsidR="00471E5F" w:rsidRPr="00BC5DF9">
        <w:rPr>
          <w:szCs w:val="24"/>
        </w:rPr>
        <w:t>·</w:t>
      </w:r>
      <w:r w:rsidRPr="00BC5DF9">
        <w:rPr>
          <w:szCs w:val="24"/>
        </w:rPr>
        <w:t xml:space="preserve"> </w:t>
      </w:r>
      <w:r w:rsidRPr="00BC5DF9">
        <w:rPr>
          <w:i/>
          <w:iCs/>
          <w:szCs w:val="24"/>
        </w:rPr>
        <w:t>η</w:t>
      </w:r>
      <w:r w:rsidRPr="00BC5DF9">
        <w:rPr>
          <w:i/>
          <w:iCs/>
          <w:position w:val="-6"/>
          <w:szCs w:val="24"/>
          <w:vertAlign w:val="subscript"/>
        </w:rPr>
        <w:t>S,RF</w:t>
      </w:r>
    </w:p>
    <w:p w14:paraId="75FA3BC7" w14:textId="77777777" w:rsidR="003C30CB" w:rsidRDefault="003C30CB" w:rsidP="003C30CB">
      <w:pPr>
        <w:pStyle w:val="Text2"/>
      </w:pPr>
      <w:r>
        <w:t xml:space="preserve">Where: </w:t>
      </w:r>
    </w:p>
    <w:p w14:paraId="39C0A1FF" w14:textId="77777777" w:rsidR="003C30CB" w:rsidRDefault="003C30CB" w:rsidP="003C30CB">
      <w:pPr>
        <w:pStyle w:val="Tiret2"/>
      </w:pPr>
      <w:r w:rsidRPr="00BC5DF9">
        <w:rPr>
          <w:i/>
          <w:iCs/>
          <w:szCs w:val="24"/>
        </w:rPr>
        <w:t>η</w:t>
      </w:r>
      <w:proofErr w:type="spellStart"/>
      <w:r w:rsidRPr="00BC5DF9">
        <w:rPr>
          <w:i/>
          <w:iCs/>
          <w:position w:val="-6"/>
          <w:szCs w:val="24"/>
          <w:vertAlign w:val="subscript"/>
        </w:rPr>
        <w:t>S,th</w:t>
      </w:r>
      <w:proofErr w:type="spellEnd"/>
      <w:r>
        <w:rPr>
          <w:i/>
          <w:iCs/>
          <w:sz w:val="11"/>
          <w:szCs w:val="11"/>
        </w:rPr>
        <w:t xml:space="preserve"> </w:t>
      </w:r>
      <w:r>
        <w:t xml:space="preserve">is the weighted thermal efficiency, expressed in %; </w:t>
      </w:r>
    </w:p>
    <w:p w14:paraId="2C5BB0FF" w14:textId="77777777" w:rsidR="003C30CB" w:rsidRDefault="003C30CB" w:rsidP="003C30CB">
      <w:pPr>
        <w:pStyle w:val="Tiret2"/>
      </w:pPr>
      <w:proofErr w:type="gramStart"/>
      <w:r w:rsidRPr="00BC5DF9">
        <w:rPr>
          <w:i/>
          <w:iCs/>
          <w:szCs w:val="24"/>
        </w:rPr>
        <w:t>η</w:t>
      </w:r>
      <w:r w:rsidRPr="00BC5DF9">
        <w:rPr>
          <w:i/>
          <w:iCs/>
          <w:position w:val="-6"/>
          <w:szCs w:val="24"/>
          <w:vertAlign w:val="subscript"/>
        </w:rPr>
        <w:t>S,</w:t>
      </w:r>
      <w:proofErr w:type="gramEnd"/>
      <w:r w:rsidRPr="00BC5DF9">
        <w:rPr>
          <w:i/>
          <w:iCs/>
          <w:position w:val="-6"/>
          <w:szCs w:val="24"/>
          <w:vertAlign w:val="subscript"/>
        </w:rPr>
        <w:t>RF</w:t>
      </w:r>
      <w:r>
        <w:rPr>
          <w:i/>
          <w:iCs/>
          <w:sz w:val="11"/>
          <w:szCs w:val="11"/>
        </w:rPr>
        <w:t xml:space="preserve"> </w:t>
      </w:r>
      <w:r>
        <w:t xml:space="preserve">is the emission efficiency, expressed in %. </w:t>
      </w:r>
    </w:p>
    <w:p w14:paraId="7A33349B" w14:textId="77777777" w:rsidR="003C30CB" w:rsidRDefault="003C30CB" w:rsidP="003C30CB">
      <w:pPr>
        <w:pStyle w:val="Text2"/>
      </w:pPr>
      <w:r>
        <w:t xml:space="preserve">For luminous local space heaters, </w:t>
      </w:r>
      <w:r w:rsidRPr="00BC5DF9">
        <w:rPr>
          <w:i/>
          <w:iCs/>
          <w:szCs w:val="24"/>
        </w:rPr>
        <w:t>η</w:t>
      </w:r>
      <w:proofErr w:type="spellStart"/>
      <w:r w:rsidRPr="00BC5DF9">
        <w:rPr>
          <w:i/>
          <w:iCs/>
          <w:position w:val="-6"/>
          <w:szCs w:val="24"/>
          <w:vertAlign w:val="subscript"/>
        </w:rPr>
        <w:t>S</w:t>
      </w:r>
      <w:proofErr w:type="gramStart"/>
      <w:r w:rsidRPr="00BC5DF9">
        <w:rPr>
          <w:i/>
          <w:iCs/>
          <w:position w:val="-6"/>
          <w:szCs w:val="24"/>
          <w:vertAlign w:val="subscript"/>
        </w:rPr>
        <w:t>,th</w:t>
      </w:r>
      <w:proofErr w:type="spellEnd"/>
      <w:proofErr w:type="gramEnd"/>
      <w:r>
        <w:rPr>
          <w:i/>
          <w:iCs/>
          <w:sz w:val="11"/>
          <w:szCs w:val="11"/>
        </w:rPr>
        <w:t xml:space="preserve"> </w:t>
      </w:r>
      <w:r>
        <w:t xml:space="preserve">is 85,6 %; </w:t>
      </w:r>
    </w:p>
    <w:p w14:paraId="26E756AF" w14:textId="77777777" w:rsidR="003C30CB" w:rsidRDefault="003C30CB" w:rsidP="003C30CB">
      <w:pPr>
        <w:pStyle w:val="Text2"/>
      </w:pPr>
      <w:r>
        <w:t xml:space="preserve">For tube local space heaters: </w:t>
      </w:r>
    </w:p>
    <w:p w14:paraId="359F88E7" w14:textId="2B941554" w:rsidR="003C30CB" w:rsidRPr="00BC5DF9" w:rsidRDefault="003C30CB" w:rsidP="003C30CB">
      <w:pPr>
        <w:pStyle w:val="Text2"/>
        <w:jc w:val="center"/>
        <w:rPr>
          <w:i/>
          <w:iCs/>
          <w:sz w:val="11"/>
          <w:szCs w:val="11"/>
          <w:vertAlign w:val="subscript"/>
        </w:rPr>
      </w:pPr>
      <w:proofErr w:type="gramStart"/>
      <w:r>
        <w:rPr>
          <w:i/>
          <w:iCs/>
        </w:rPr>
        <w:t>η</w:t>
      </w:r>
      <w:proofErr w:type="spellStart"/>
      <w:r w:rsidR="00471E5F" w:rsidRPr="00471E5F">
        <w:rPr>
          <w:i/>
          <w:iCs/>
          <w:position w:val="-6"/>
          <w:szCs w:val="24"/>
          <w:vertAlign w:val="subscript"/>
        </w:rPr>
        <w:t>S</w:t>
      </w:r>
      <w:r w:rsidRPr="00471E5F">
        <w:rPr>
          <w:i/>
          <w:iCs/>
          <w:position w:val="-6"/>
          <w:szCs w:val="24"/>
          <w:vertAlign w:val="subscript"/>
        </w:rPr>
        <w:t>,</w:t>
      </w:r>
      <w:proofErr w:type="gramEnd"/>
      <w:r w:rsidRPr="00471E5F">
        <w:rPr>
          <w:i/>
          <w:iCs/>
          <w:position w:val="-6"/>
          <w:szCs w:val="24"/>
          <w:vertAlign w:val="subscript"/>
        </w:rPr>
        <w:t>th</w:t>
      </w:r>
      <w:proofErr w:type="spellEnd"/>
      <w:r w:rsidRPr="00471E5F">
        <w:rPr>
          <w:i/>
          <w:iCs/>
          <w:position w:val="-6"/>
          <w:szCs w:val="24"/>
          <w:vertAlign w:val="subscript"/>
        </w:rPr>
        <w:t xml:space="preserve"> </w:t>
      </w:r>
      <w:r>
        <w:t xml:space="preserve">= (0,15 · </w:t>
      </w:r>
      <w:proofErr w:type="spellStart"/>
      <w:r w:rsidRPr="00BC5DF9">
        <w:rPr>
          <w:i/>
          <w:iCs/>
          <w:szCs w:val="24"/>
        </w:rPr>
        <w:t>η</w:t>
      </w:r>
      <w:r w:rsidRPr="00BC5DF9">
        <w:rPr>
          <w:i/>
          <w:iCs/>
          <w:szCs w:val="24"/>
          <w:vertAlign w:val="subscript"/>
        </w:rPr>
        <w:t>th,nom</w:t>
      </w:r>
      <w:proofErr w:type="spellEnd"/>
      <w:r>
        <w:rPr>
          <w:i/>
          <w:iCs/>
          <w:sz w:val="11"/>
          <w:szCs w:val="11"/>
        </w:rPr>
        <w:t xml:space="preserve"> </w:t>
      </w:r>
      <w:r>
        <w:t xml:space="preserve">+ 0,85 · </w:t>
      </w:r>
      <w:proofErr w:type="spellStart"/>
      <w:r w:rsidRPr="00BC5DF9">
        <w:rPr>
          <w:i/>
          <w:iCs/>
          <w:szCs w:val="24"/>
        </w:rPr>
        <w:t>η</w:t>
      </w:r>
      <w:r w:rsidRPr="00BC5DF9">
        <w:rPr>
          <w:i/>
          <w:iCs/>
          <w:szCs w:val="24"/>
          <w:vertAlign w:val="subscript"/>
        </w:rPr>
        <w:t>th,min</w:t>
      </w:r>
      <w:proofErr w:type="spellEnd"/>
      <w:r>
        <w:t xml:space="preserve">) – </w:t>
      </w:r>
      <w:proofErr w:type="spellStart"/>
      <w:r w:rsidRPr="00BC5DF9">
        <w:rPr>
          <w:i/>
          <w:iCs/>
          <w:szCs w:val="24"/>
        </w:rPr>
        <w:t>F</w:t>
      </w:r>
      <w:r w:rsidRPr="00BC5DF9">
        <w:rPr>
          <w:i/>
          <w:iCs/>
          <w:szCs w:val="24"/>
          <w:vertAlign w:val="subscript"/>
        </w:rPr>
        <w:t>env</w:t>
      </w:r>
      <w:proofErr w:type="spellEnd"/>
    </w:p>
    <w:p w14:paraId="6DEFFCA1" w14:textId="77777777" w:rsidR="003C30CB" w:rsidRDefault="003C30CB" w:rsidP="003C30CB">
      <w:pPr>
        <w:pStyle w:val="Text2"/>
      </w:pPr>
      <w:r>
        <w:t xml:space="preserve">Where: </w:t>
      </w:r>
    </w:p>
    <w:p w14:paraId="70058AC5" w14:textId="5FD81D85" w:rsidR="003C30CB" w:rsidRDefault="00A1194C" w:rsidP="003C30CB">
      <w:pPr>
        <w:pStyle w:val="Tiret2"/>
      </w:pPr>
      <w:proofErr w:type="spellStart"/>
      <w:r w:rsidRPr="00BC5DF9">
        <w:rPr>
          <w:i/>
          <w:iCs/>
          <w:szCs w:val="24"/>
        </w:rPr>
        <w:t>η</w:t>
      </w:r>
      <w:r w:rsidRPr="00BC5DF9">
        <w:rPr>
          <w:i/>
          <w:iCs/>
          <w:szCs w:val="24"/>
          <w:vertAlign w:val="subscript"/>
        </w:rPr>
        <w:t>th,nom</w:t>
      </w:r>
      <w:proofErr w:type="spellEnd"/>
      <w:r>
        <w:rPr>
          <w:i/>
          <w:iCs/>
          <w:sz w:val="11"/>
          <w:szCs w:val="11"/>
        </w:rPr>
        <w:t xml:space="preserve"> </w:t>
      </w:r>
      <w:r>
        <w:t>is the thermal efficiency at nominal heat output, expressed in %, based on GCV</w:t>
      </w:r>
      <w:r w:rsidR="003C30CB">
        <w:t xml:space="preserve">; </w:t>
      </w:r>
    </w:p>
    <w:p w14:paraId="5897DEE3" w14:textId="7FA70853" w:rsidR="003C30CB" w:rsidRDefault="00A1194C" w:rsidP="003C30CB">
      <w:pPr>
        <w:pStyle w:val="Tiret2"/>
      </w:pPr>
      <w:proofErr w:type="spellStart"/>
      <w:r w:rsidRPr="00BC5DF9">
        <w:rPr>
          <w:i/>
          <w:iCs/>
          <w:szCs w:val="24"/>
        </w:rPr>
        <w:t>η</w:t>
      </w:r>
      <w:r w:rsidRPr="00BC5DF9">
        <w:rPr>
          <w:i/>
          <w:iCs/>
          <w:szCs w:val="24"/>
          <w:vertAlign w:val="subscript"/>
        </w:rPr>
        <w:t>th,min</w:t>
      </w:r>
      <w:proofErr w:type="spellEnd"/>
      <w:r w:rsidR="003C30CB">
        <w:rPr>
          <w:i/>
          <w:iCs/>
          <w:sz w:val="11"/>
          <w:szCs w:val="11"/>
        </w:rPr>
        <w:t xml:space="preserve"> </w:t>
      </w:r>
      <w:r>
        <w:t>is the thermal efficiency at minimum heat output, expressed in %, based on GCV;</w:t>
      </w:r>
      <w:r w:rsidR="003C30CB">
        <w:t xml:space="preserve"> </w:t>
      </w:r>
    </w:p>
    <w:p w14:paraId="42531A7D" w14:textId="7B404467" w:rsidR="003C30CB" w:rsidRDefault="00A1194C" w:rsidP="003C30CB">
      <w:pPr>
        <w:pStyle w:val="Tiret2"/>
      </w:pPr>
      <w:proofErr w:type="spellStart"/>
      <w:r w:rsidRPr="00BC5DF9">
        <w:rPr>
          <w:i/>
          <w:iCs/>
          <w:szCs w:val="24"/>
        </w:rPr>
        <w:t>F</w:t>
      </w:r>
      <w:r w:rsidRPr="00BC5DF9">
        <w:rPr>
          <w:i/>
          <w:iCs/>
          <w:szCs w:val="24"/>
          <w:vertAlign w:val="subscript"/>
        </w:rPr>
        <w:t>env</w:t>
      </w:r>
      <w:proofErr w:type="spellEnd"/>
      <w:r>
        <w:rPr>
          <w:i/>
          <w:iCs/>
          <w:szCs w:val="24"/>
          <w:vertAlign w:val="subscript"/>
        </w:rPr>
        <w:t xml:space="preserve"> </w:t>
      </w:r>
      <w:r w:rsidR="003C30CB">
        <w:rPr>
          <w:i/>
          <w:iCs/>
          <w:sz w:val="11"/>
          <w:szCs w:val="11"/>
        </w:rPr>
        <w:t xml:space="preserve"> </w:t>
      </w:r>
      <w:r w:rsidR="003C30CB">
        <w:t xml:space="preserve">are the envelope losses of the heat generator, expressed in %; </w:t>
      </w:r>
    </w:p>
    <w:p w14:paraId="1A82B8BD" w14:textId="77777777" w:rsidR="00A1194C" w:rsidRDefault="00A1194C" w:rsidP="00A1194C">
      <w:pPr>
        <w:pStyle w:val="Text2"/>
      </w:pPr>
      <w:r>
        <w:t xml:space="preserve">If the heat generator of the tube local space heater is specified by the manufacturer or by the supplier to be installed in the indoor space to be heated, the envelope losses are 0 (zero). </w:t>
      </w:r>
    </w:p>
    <w:p w14:paraId="23F5D84B" w14:textId="77777777" w:rsidR="00A1194C" w:rsidRDefault="00A1194C" w:rsidP="00A1194C">
      <w:pPr>
        <w:pStyle w:val="Text2"/>
      </w:pPr>
      <w:r>
        <w:t>If the heat generator of the tube local space heater is specified by the manufacturer or by the supplier to be installed outside the heated area, the envelope loss factor depends on the thermal transmittance of the envelope of the heat generator according to Table 4.</w:t>
      </w:r>
    </w:p>
    <w:p w14:paraId="152C6FED" w14:textId="4F0D6B4B" w:rsidR="00471E5F" w:rsidRPr="00471E5F" w:rsidRDefault="00471E5F" w:rsidP="00471E5F">
      <w:pPr>
        <w:pStyle w:val="Text2"/>
        <w:jc w:val="center"/>
        <w:rPr>
          <w:i/>
          <w:iCs/>
          <w:szCs w:val="24"/>
        </w:rPr>
      </w:pPr>
      <w:r w:rsidRPr="00471E5F">
        <w:rPr>
          <w:i/>
          <w:iCs/>
          <w:szCs w:val="24"/>
        </w:rPr>
        <w:t>Table 4</w:t>
      </w:r>
    </w:p>
    <w:p w14:paraId="65895D26" w14:textId="06A8EB85" w:rsidR="003C30CB" w:rsidRPr="00471E5F" w:rsidRDefault="00471E5F" w:rsidP="00471E5F">
      <w:pPr>
        <w:pStyle w:val="Text2"/>
        <w:jc w:val="center"/>
        <w:rPr>
          <w:b/>
          <w:bCs/>
          <w:szCs w:val="24"/>
        </w:rPr>
      </w:pPr>
      <w:r w:rsidRPr="00471E5F">
        <w:rPr>
          <w:b/>
          <w:bCs/>
          <w:szCs w:val="24"/>
        </w:rPr>
        <w:t>Envelope loss factor of the heat generator</w:t>
      </w:r>
    </w:p>
    <w:tbl>
      <w:tblPr>
        <w:tblStyle w:val="TableGrid"/>
        <w:tblW w:w="5000" w:type="pct"/>
        <w:tblBorders>
          <w:left w:val="none" w:sz="0" w:space="0" w:color="auto"/>
          <w:right w:val="none" w:sz="0" w:space="0" w:color="auto"/>
        </w:tblBorders>
        <w:tblLook w:val="04A0" w:firstRow="1" w:lastRow="0" w:firstColumn="1" w:lastColumn="0" w:noHBand="0" w:noVBand="1"/>
      </w:tblPr>
      <w:tblGrid>
        <w:gridCol w:w="4717"/>
        <w:gridCol w:w="4572"/>
      </w:tblGrid>
      <w:tr w:rsidR="00471E5F" w:rsidRPr="00471E5F" w14:paraId="1046A8CE" w14:textId="77777777" w:rsidTr="00A1194C">
        <w:tc>
          <w:tcPr>
            <w:tcW w:w="2539" w:type="pct"/>
          </w:tcPr>
          <w:p w14:paraId="2C75D4B9" w14:textId="338F71C8" w:rsidR="00471E5F" w:rsidRPr="00471E5F" w:rsidRDefault="00471E5F" w:rsidP="00471E5F">
            <w:pPr>
              <w:pStyle w:val="Text2"/>
              <w:ind w:left="0"/>
              <w:jc w:val="center"/>
              <w:rPr>
                <w:sz w:val="22"/>
              </w:rPr>
            </w:pPr>
            <w:r w:rsidRPr="00471E5F">
              <w:rPr>
                <w:sz w:val="22"/>
              </w:rPr>
              <w:t>Thermal transmittance of envelope (U)</w:t>
            </w:r>
          </w:p>
        </w:tc>
        <w:tc>
          <w:tcPr>
            <w:tcW w:w="2461" w:type="pct"/>
          </w:tcPr>
          <w:p w14:paraId="3F6E9493" w14:textId="77777777" w:rsidR="00471E5F" w:rsidRPr="00471E5F" w:rsidRDefault="00471E5F" w:rsidP="00471E5F">
            <w:pPr>
              <w:pStyle w:val="Text2"/>
              <w:ind w:left="0"/>
              <w:jc w:val="center"/>
              <w:rPr>
                <w:sz w:val="22"/>
              </w:rPr>
            </w:pPr>
          </w:p>
        </w:tc>
      </w:tr>
      <w:tr w:rsidR="00471E5F" w:rsidRPr="00471E5F" w14:paraId="068CFC65" w14:textId="77777777" w:rsidTr="00A1194C">
        <w:tc>
          <w:tcPr>
            <w:tcW w:w="2539" w:type="pct"/>
          </w:tcPr>
          <w:p w14:paraId="01C69718" w14:textId="69CC1BA6" w:rsidR="00471E5F" w:rsidRPr="00471E5F" w:rsidRDefault="00471E5F" w:rsidP="00471E5F">
            <w:pPr>
              <w:pStyle w:val="Text2"/>
              <w:ind w:left="0"/>
              <w:jc w:val="center"/>
              <w:rPr>
                <w:sz w:val="22"/>
              </w:rPr>
            </w:pPr>
            <w:r w:rsidRPr="00471E5F">
              <w:rPr>
                <w:sz w:val="22"/>
              </w:rPr>
              <w:t>U ≤ 0,5</w:t>
            </w:r>
          </w:p>
        </w:tc>
        <w:tc>
          <w:tcPr>
            <w:tcW w:w="2461" w:type="pct"/>
          </w:tcPr>
          <w:p w14:paraId="3A9F264C" w14:textId="16B8DCA0" w:rsidR="00471E5F" w:rsidRPr="00471E5F" w:rsidRDefault="00471E5F" w:rsidP="00471E5F">
            <w:pPr>
              <w:pStyle w:val="Text2"/>
              <w:ind w:left="0"/>
              <w:jc w:val="center"/>
              <w:rPr>
                <w:sz w:val="22"/>
              </w:rPr>
            </w:pPr>
            <w:r w:rsidRPr="00471E5F">
              <w:rPr>
                <w:sz w:val="22"/>
              </w:rPr>
              <w:t>2,2 %</w:t>
            </w:r>
          </w:p>
        </w:tc>
      </w:tr>
      <w:tr w:rsidR="00471E5F" w:rsidRPr="00471E5F" w14:paraId="232F5087" w14:textId="77777777" w:rsidTr="00A1194C">
        <w:tc>
          <w:tcPr>
            <w:tcW w:w="2539" w:type="pct"/>
          </w:tcPr>
          <w:p w14:paraId="69BB5D72" w14:textId="43CB2BCD" w:rsidR="00471E5F" w:rsidRPr="00471E5F" w:rsidRDefault="00471E5F" w:rsidP="00471E5F">
            <w:pPr>
              <w:pStyle w:val="Text2"/>
              <w:ind w:left="0"/>
              <w:jc w:val="center"/>
              <w:rPr>
                <w:sz w:val="22"/>
              </w:rPr>
            </w:pPr>
            <w:r w:rsidRPr="00471E5F">
              <w:rPr>
                <w:sz w:val="22"/>
              </w:rPr>
              <w:t>0,5 &lt; U ≤ 1,0</w:t>
            </w:r>
          </w:p>
        </w:tc>
        <w:tc>
          <w:tcPr>
            <w:tcW w:w="2461" w:type="pct"/>
          </w:tcPr>
          <w:p w14:paraId="53FCC571" w14:textId="7FA6DA13" w:rsidR="00471E5F" w:rsidRPr="00471E5F" w:rsidRDefault="00471E5F" w:rsidP="00471E5F">
            <w:pPr>
              <w:pStyle w:val="Text2"/>
              <w:ind w:left="0"/>
              <w:jc w:val="center"/>
              <w:rPr>
                <w:sz w:val="22"/>
              </w:rPr>
            </w:pPr>
            <w:r w:rsidRPr="00471E5F">
              <w:rPr>
                <w:sz w:val="22"/>
              </w:rPr>
              <w:t>2,4 %</w:t>
            </w:r>
          </w:p>
        </w:tc>
      </w:tr>
      <w:tr w:rsidR="00471E5F" w:rsidRPr="00471E5F" w14:paraId="2EFCF3B5" w14:textId="77777777" w:rsidTr="00A1194C">
        <w:tc>
          <w:tcPr>
            <w:tcW w:w="2539" w:type="pct"/>
          </w:tcPr>
          <w:p w14:paraId="693101AA" w14:textId="453784A5" w:rsidR="00471E5F" w:rsidRPr="00471E5F" w:rsidRDefault="00471E5F" w:rsidP="00471E5F">
            <w:pPr>
              <w:pStyle w:val="Text2"/>
              <w:ind w:left="0"/>
              <w:jc w:val="center"/>
              <w:rPr>
                <w:sz w:val="22"/>
              </w:rPr>
            </w:pPr>
            <w:r w:rsidRPr="00471E5F">
              <w:rPr>
                <w:sz w:val="22"/>
              </w:rPr>
              <w:t>1,0 &lt; U ≤ 1,4</w:t>
            </w:r>
          </w:p>
        </w:tc>
        <w:tc>
          <w:tcPr>
            <w:tcW w:w="2461" w:type="pct"/>
          </w:tcPr>
          <w:p w14:paraId="1819C08F" w14:textId="6CF7A142" w:rsidR="00471E5F" w:rsidRPr="00471E5F" w:rsidRDefault="00471E5F" w:rsidP="00471E5F">
            <w:pPr>
              <w:pStyle w:val="Text2"/>
              <w:ind w:left="0"/>
              <w:jc w:val="center"/>
              <w:rPr>
                <w:sz w:val="22"/>
              </w:rPr>
            </w:pPr>
            <w:r w:rsidRPr="00471E5F">
              <w:rPr>
                <w:sz w:val="22"/>
              </w:rPr>
              <w:t>3,2 %</w:t>
            </w:r>
          </w:p>
        </w:tc>
      </w:tr>
      <w:tr w:rsidR="00471E5F" w:rsidRPr="00471E5F" w14:paraId="5ECE3C34" w14:textId="77777777" w:rsidTr="00A1194C">
        <w:tc>
          <w:tcPr>
            <w:tcW w:w="2539" w:type="pct"/>
          </w:tcPr>
          <w:p w14:paraId="391E44B7" w14:textId="7867DC08" w:rsidR="00471E5F" w:rsidRPr="00471E5F" w:rsidRDefault="00471E5F" w:rsidP="00471E5F">
            <w:pPr>
              <w:pStyle w:val="Text2"/>
              <w:ind w:left="0"/>
              <w:jc w:val="center"/>
              <w:rPr>
                <w:sz w:val="22"/>
              </w:rPr>
            </w:pPr>
            <w:r w:rsidRPr="00471E5F">
              <w:rPr>
                <w:sz w:val="22"/>
              </w:rPr>
              <w:t>1,4 &lt; U ≤ 2,0</w:t>
            </w:r>
          </w:p>
        </w:tc>
        <w:tc>
          <w:tcPr>
            <w:tcW w:w="2461" w:type="pct"/>
          </w:tcPr>
          <w:p w14:paraId="593EF1C7" w14:textId="684634BD" w:rsidR="00471E5F" w:rsidRPr="00471E5F" w:rsidRDefault="00471E5F" w:rsidP="00471E5F">
            <w:pPr>
              <w:pStyle w:val="Text2"/>
              <w:ind w:left="0"/>
              <w:jc w:val="center"/>
              <w:rPr>
                <w:sz w:val="22"/>
              </w:rPr>
            </w:pPr>
            <w:r w:rsidRPr="00471E5F">
              <w:rPr>
                <w:sz w:val="22"/>
              </w:rPr>
              <w:t>3,6 %</w:t>
            </w:r>
          </w:p>
        </w:tc>
      </w:tr>
      <w:tr w:rsidR="00471E5F" w:rsidRPr="00471E5F" w14:paraId="0315C195" w14:textId="77777777" w:rsidTr="00A1194C">
        <w:tc>
          <w:tcPr>
            <w:tcW w:w="2539" w:type="pct"/>
          </w:tcPr>
          <w:p w14:paraId="28E879B9" w14:textId="34FC3C4E" w:rsidR="00471E5F" w:rsidRPr="00471E5F" w:rsidRDefault="00471E5F" w:rsidP="00471E5F">
            <w:pPr>
              <w:pStyle w:val="Text2"/>
              <w:ind w:left="0"/>
              <w:jc w:val="center"/>
              <w:rPr>
                <w:sz w:val="22"/>
              </w:rPr>
            </w:pPr>
            <w:r w:rsidRPr="00471E5F">
              <w:rPr>
                <w:sz w:val="22"/>
              </w:rPr>
              <w:t>U &gt; 2,0</w:t>
            </w:r>
          </w:p>
        </w:tc>
        <w:tc>
          <w:tcPr>
            <w:tcW w:w="2461" w:type="pct"/>
          </w:tcPr>
          <w:p w14:paraId="79927815" w14:textId="0E1BC61D" w:rsidR="00471E5F" w:rsidRPr="00471E5F" w:rsidRDefault="00471E5F" w:rsidP="00471E5F">
            <w:pPr>
              <w:pStyle w:val="Text2"/>
              <w:ind w:left="0"/>
              <w:jc w:val="center"/>
              <w:rPr>
                <w:sz w:val="22"/>
              </w:rPr>
            </w:pPr>
            <w:r w:rsidRPr="00471E5F">
              <w:rPr>
                <w:sz w:val="22"/>
              </w:rPr>
              <w:t>6,0 %</w:t>
            </w:r>
          </w:p>
        </w:tc>
      </w:tr>
    </w:tbl>
    <w:p w14:paraId="0840A5EC" w14:textId="77777777" w:rsidR="00471E5F" w:rsidRDefault="00471E5F" w:rsidP="00471E5F">
      <w:pPr>
        <w:pStyle w:val="Text2"/>
        <w:rPr>
          <w:szCs w:val="24"/>
        </w:rPr>
      </w:pPr>
      <w:r w:rsidRPr="00471E5F">
        <w:rPr>
          <w:szCs w:val="24"/>
        </w:rPr>
        <w:t xml:space="preserve">The emission efficiency of commercial local space heaters is calculated as follows: </w:t>
      </w:r>
    </w:p>
    <w:p w14:paraId="396A481C" w14:textId="1724EFCC" w:rsidR="00471E5F" w:rsidRPr="00471E5F" w:rsidRDefault="00471E5F" w:rsidP="00471E5F">
      <w:pPr>
        <w:pStyle w:val="Text2"/>
        <w:jc w:val="center"/>
        <w:rPr>
          <w:iCs/>
          <w:szCs w:val="24"/>
        </w:rPr>
      </w:pPr>
      <w:proofErr w:type="gramStart"/>
      <w:r w:rsidRPr="00471E5F">
        <w:rPr>
          <w:i/>
          <w:iCs/>
          <w:szCs w:val="19"/>
        </w:rPr>
        <w:t>η</w:t>
      </w:r>
      <w:r w:rsidRPr="00471E5F">
        <w:rPr>
          <w:i/>
          <w:iCs/>
          <w:position w:val="-6"/>
          <w:szCs w:val="24"/>
          <w:vertAlign w:val="subscript"/>
        </w:rPr>
        <w:t>S,</w:t>
      </w:r>
      <w:proofErr w:type="gramEnd"/>
      <w:r w:rsidRPr="00471E5F">
        <w:rPr>
          <w:i/>
          <w:iCs/>
          <w:position w:val="-6"/>
          <w:szCs w:val="24"/>
          <w:vertAlign w:val="subscript"/>
        </w:rPr>
        <w:t>RF</w:t>
      </w:r>
      <w:r w:rsidRPr="00471E5F">
        <w:rPr>
          <w:iCs/>
          <w:position w:val="-6"/>
          <w:szCs w:val="24"/>
          <w:vertAlign w:val="subscript"/>
        </w:rPr>
        <w:t xml:space="preserve"> </w:t>
      </w:r>
      <w:r w:rsidRPr="00471E5F">
        <w:rPr>
          <w:iCs/>
          <w:szCs w:val="24"/>
        </w:rPr>
        <w:t>=</w:t>
      </w:r>
      <w:r>
        <w:rPr>
          <w:iCs/>
          <w:sz w:val="11"/>
          <w:szCs w:val="11"/>
        </w:rPr>
        <w:t xml:space="preserve"> </w:t>
      </w:r>
      <w:r w:rsidRPr="00471E5F">
        <w:rPr>
          <w:iCs/>
          <w:szCs w:val="24"/>
        </w:rPr>
        <w:t>(</w:t>
      </w:r>
      <w:r w:rsidRPr="00471E5F">
        <w:rPr>
          <w:szCs w:val="24"/>
        </w:rPr>
        <w:t xml:space="preserve">(0,94 </w:t>
      </w:r>
      <w:r>
        <w:rPr>
          <w:szCs w:val="24"/>
        </w:rPr>
        <w:t>·</w:t>
      </w:r>
      <w:r w:rsidRPr="00471E5F">
        <w:rPr>
          <w:szCs w:val="24"/>
        </w:rPr>
        <w:t xml:space="preserve"> </w:t>
      </w:r>
      <w:r w:rsidRPr="00471E5F">
        <w:rPr>
          <w:i/>
          <w:iCs/>
          <w:szCs w:val="24"/>
        </w:rPr>
        <w:t>RF</w:t>
      </w:r>
      <w:r w:rsidRPr="00471E5F">
        <w:rPr>
          <w:i/>
          <w:iCs/>
          <w:szCs w:val="24"/>
          <w:vertAlign w:val="subscript"/>
        </w:rPr>
        <w:t>S</w:t>
      </w:r>
      <w:r w:rsidRPr="00471E5F">
        <w:rPr>
          <w:szCs w:val="24"/>
        </w:rPr>
        <w:t xml:space="preserve">) + 0,19)/ </w:t>
      </w:r>
      <w:r>
        <w:rPr>
          <w:szCs w:val="24"/>
        </w:rPr>
        <w:t>(</w:t>
      </w:r>
      <w:r w:rsidRPr="00471E5F">
        <w:rPr>
          <w:szCs w:val="24"/>
        </w:rPr>
        <w:t>(0,46</w:t>
      </w:r>
      <w:r>
        <w:rPr>
          <w:rFonts w:ascii="Tahoma" w:hAnsi="Tahoma" w:cs="Tahoma"/>
          <w:szCs w:val="24"/>
        </w:rPr>
        <w:t xml:space="preserve"> </w:t>
      </w:r>
      <w:r>
        <w:rPr>
          <w:szCs w:val="24"/>
        </w:rPr>
        <w:t xml:space="preserve">· </w:t>
      </w:r>
      <w:r w:rsidRPr="00471E5F">
        <w:rPr>
          <w:i/>
          <w:iCs/>
          <w:szCs w:val="24"/>
        </w:rPr>
        <w:t>RF</w:t>
      </w:r>
      <w:r w:rsidRPr="00471E5F">
        <w:rPr>
          <w:i/>
          <w:iCs/>
          <w:szCs w:val="24"/>
          <w:vertAlign w:val="subscript"/>
        </w:rPr>
        <w:t>S</w:t>
      </w:r>
      <w:r w:rsidRPr="00471E5F">
        <w:rPr>
          <w:iCs/>
          <w:szCs w:val="24"/>
        </w:rPr>
        <w:t>)</w:t>
      </w:r>
      <w:r w:rsidRPr="00471E5F">
        <w:rPr>
          <w:iCs/>
          <w:szCs w:val="24"/>
          <w:vertAlign w:val="subscript"/>
        </w:rPr>
        <w:t xml:space="preserve"> </w:t>
      </w:r>
      <w:r>
        <w:rPr>
          <w:iCs/>
          <w:szCs w:val="24"/>
        </w:rPr>
        <w:t xml:space="preserve">+ </w:t>
      </w:r>
      <w:r>
        <w:rPr>
          <w:szCs w:val="24"/>
        </w:rPr>
        <w:t>0,45)</w:t>
      </w:r>
    </w:p>
    <w:p w14:paraId="4CD1EB08" w14:textId="77777777" w:rsidR="00471E5F" w:rsidRDefault="00471E5F" w:rsidP="00471E5F">
      <w:pPr>
        <w:pStyle w:val="Text2"/>
        <w:rPr>
          <w:szCs w:val="24"/>
        </w:rPr>
      </w:pPr>
      <w:r w:rsidRPr="00471E5F">
        <w:rPr>
          <w:szCs w:val="24"/>
        </w:rPr>
        <w:t xml:space="preserve">Where: </w:t>
      </w:r>
    </w:p>
    <w:p w14:paraId="78DD66CB" w14:textId="50997F6E" w:rsidR="00471E5F" w:rsidRDefault="00471E5F" w:rsidP="00471E5F">
      <w:pPr>
        <w:pStyle w:val="Tiret2"/>
      </w:pPr>
      <w:r w:rsidRPr="00471E5F">
        <w:rPr>
          <w:i/>
          <w:iCs/>
        </w:rPr>
        <w:t>RF</w:t>
      </w:r>
      <w:r w:rsidRPr="00471E5F">
        <w:rPr>
          <w:i/>
          <w:iCs/>
          <w:vertAlign w:val="subscript"/>
        </w:rPr>
        <w:t>S</w:t>
      </w:r>
      <w:r w:rsidRPr="00471E5F">
        <w:rPr>
          <w:i/>
          <w:iCs/>
        </w:rPr>
        <w:t xml:space="preserve"> </w:t>
      </w:r>
      <w:r w:rsidRPr="00471E5F">
        <w:t xml:space="preserve">is the radiant factor of the commercial local space heater, expressed in %. </w:t>
      </w:r>
    </w:p>
    <w:p w14:paraId="14DBE64E" w14:textId="77777777" w:rsidR="00471E5F" w:rsidRDefault="00471E5F" w:rsidP="00471E5F">
      <w:pPr>
        <w:pStyle w:val="Text2"/>
        <w:rPr>
          <w:i/>
          <w:iCs/>
        </w:rPr>
      </w:pPr>
      <w:r w:rsidRPr="00471E5F">
        <w:rPr>
          <w:i/>
          <w:iCs/>
        </w:rPr>
        <w:t xml:space="preserve">For all commercial local space heaters except tube systems: </w:t>
      </w:r>
    </w:p>
    <w:p w14:paraId="3E3575C3" w14:textId="137B5A7B" w:rsidR="00471E5F" w:rsidRDefault="00471E5F" w:rsidP="00471E5F">
      <w:pPr>
        <w:pStyle w:val="Text2"/>
        <w:jc w:val="center"/>
        <w:rPr>
          <w:i/>
          <w:iCs/>
        </w:rPr>
      </w:pPr>
      <w:r w:rsidRPr="00471E5F">
        <w:rPr>
          <w:i/>
          <w:iCs/>
        </w:rPr>
        <w:t>RF</w:t>
      </w:r>
      <w:r w:rsidRPr="00471E5F">
        <w:rPr>
          <w:i/>
          <w:iCs/>
          <w:vertAlign w:val="subscript"/>
        </w:rPr>
        <w:t>S</w:t>
      </w:r>
      <w:r w:rsidRPr="00471E5F">
        <w:rPr>
          <w:i/>
          <w:iCs/>
        </w:rPr>
        <w:t xml:space="preserve"> </w:t>
      </w:r>
      <w:r w:rsidRPr="00471E5F">
        <w:t>= 0</w:t>
      </w:r>
      <w:proofErr w:type="gramStart"/>
      <w:r w:rsidRPr="00471E5F">
        <w:t>,15</w:t>
      </w:r>
      <w:proofErr w:type="gramEnd"/>
      <w:r w:rsidRPr="00471E5F">
        <w:t xml:space="preserve"> · </w:t>
      </w:r>
      <w:proofErr w:type="spellStart"/>
      <w:r w:rsidRPr="00471E5F">
        <w:rPr>
          <w:i/>
          <w:iCs/>
        </w:rPr>
        <w:t>RF</w:t>
      </w:r>
      <w:r w:rsidRPr="003973E9">
        <w:rPr>
          <w:i/>
          <w:iCs/>
          <w:vertAlign w:val="subscript"/>
        </w:rPr>
        <w:t>nom</w:t>
      </w:r>
      <w:proofErr w:type="spellEnd"/>
      <w:r w:rsidRPr="00471E5F">
        <w:rPr>
          <w:i/>
          <w:iCs/>
        </w:rPr>
        <w:t xml:space="preserve"> </w:t>
      </w:r>
      <w:r w:rsidRPr="00471E5F">
        <w:t xml:space="preserve">+ 0,85 · </w:t>
      </w:r>
      <w:proofErr w:type="spellStart"/>
      <w:r w:rsidRPr="00471E5F">
        <w:rPr>
          <w:i/>
          <w:iCs/>
        </w:rPr>
        <w:t>RF</w:t>
      </w:r>
      <w:r w:rsidRPr="003973E9">
        <w:rPr>
          <w:i/>
          <w:iCs/>
          <w:vertAlign w:val="subscript"/>
        </w:rPr>
        <w:t>min</w:t>
      </w:r>
      <w:proofErr w:type="spellEnd"/>
    </w:p>
    <w:p w14:paraId="149C5D33" w14:textId="77777777" w:rsidR="00471E5F" w:rsidRDefault="00471E5F" w:rsidP="00471E5F">
      <w:pPr>
        <w:pStyle w:val="Text2"/>
      </w:pPr>
      <w:r w:rsidRPr="00471E5F">
        <w:t xml:space="preserve">Where: </w:t>
      </w:r>
    </w:p>
    <w:p w14:paraId="2D219358" w14:textId="77777777" w:rsidR="00471E5F" w:rsidRDefault="00471E5F" w:rsidP="00471E5F">
      <w:pPr>
        <w:pStyle w:val="Tiret2"/>
      </w:pPr>
      <w:proofErr w:type="spellStart"/>
      <w:r w:rsidRPr="00471E5F">
        <w:rPr>
          <w:i/>
          <w:iCs/>
        </w:rPr>
        <w:t>RF</w:t>
      </w:r>
      <w:r w:rsidRPr="003973E9">
        <w:rPr>
          <w:i/>
          <w:iCs/>
          <w:vertAlign w:val="subscript"/>
        </w:rPr>
        <w:t>nom</w:t>
      </w:r>
      <w:proofErr w:type="spellEnd"/>
      <w:r w:rsidRPr="00471E5F">
        <w:t xml:space="preserve">, is the radiant factor at nominal heat output, expressed in %; </w:t>
      </w:r>
    </w:p>
    <w:p w14:paraId="4438413C" w14:textId="77777777" w:rsidR="00471E5F" w:rsidRDefault="00471E5F" w:rsidP="00471E5F">
      <w:pPr>
        <w:pStyle w:val="Tiret2"/>
      </w:pPr>
      <w:proofErr w:type="spellStart"/>
      <w:proofErr w:type="gramStart"/>
      <w:r w:rsidRPr="00471E5F">
        <w:rPr>
          <w:i/>
          <w:iCs/>
        </w:rPr>
        <w:t>RF</w:t>
      </w:r>
      <w:r w:rsidRPr="003973E9">
        <w:rPr>
          <w:i/>
          <w:iCs/>
          <w:vertAlign w:val="subscript"/>
        </w:rPr>
        <w:t>min</w:t>
      </w:r>
      <w:proofErr w:type="spellEnd"/>
      <w:r w:rsidRPr="00471E5F">
        <w:t>,</w:t>
      </w:r>
      <w:proofErr w:type="gramEnd"/>
      <w:r w:rsidRPr="00471E5F">
        <w:t xml:space="preserve"> is the radiant factor at minimum heat output, expressed in %. </w:t>
      </w:r>
    </w:p>
    <w:p w14:paraId="6FEA6DCA" w14:textId="77777777" w:rsidR="00471E5F" w:rsidRDefault="00471E5F" w:rsidP="00471E5F">
      <w:pPr>
        <w:pStyle w:val="Text2"/>
      </w:pPr>
      <w:r w:rsidRPr="00471E5F">
        <w:t xml:space="preserve">For tube systems: </w:t>
      </w:r>
    </w:p>
    <w:p w14:paraId="48B84830" w14:textId="19EDFC1B" w:rsidR="00471E5F" w:rsidRDefault="00471E5F" w:rsidP="00BC5DF9">
      <w:pPr>
        <w:pStyle w:val="Text2"/>
        <w:jc w:val="center"/>
        <w:rPr>
          <w:i/>
          <w:iCs/>
        </w:rPr>
      </w:pPr>
      <w:r w:rsidRPr="00471E5F">
        <w:rPr>
          <w:i/>
          <w:iCs/>
        </w:rPr>
        <w:t>RF</w:t>
      </w:r>
      <w:r w:rsidRPr="00471E5F">
        <w:rPr>
          <w:i/>
          <w:iCs/>
          <w:vertAlign w:val="subscript"/>
        </w:rPr>
        <w:t>S</w:t>
      </w:r>
      <w:r w:rsidRPr="00471E5F">
        <w:rPr>
          <w:i/>
          <w:iCs/>
        </w:rPr>
        <w:t xml:space="preserve"> </w:t>
      </w:r>
      <w:r>
        <w:rPr>
          <w:i/>
          <w:iCs/>
        </w:rPr>
        <w:t xml:space="preserve">= </w:t>
      </w:r>
      <w:r w:rsidRPr="00471E5F">
        <w:rPr>
          <w:iCs/>
        </w:rPr>
        <w:sym w:font="Symbol" w:char="F0E5"/>
      </w:r>
      <w:r w:rsidR="00BC5DF9" w:rsidRPr="00BC5DF9">
        <w:rPr>
          <w:position w:val="6"/>
          <w:vertAlign w:val="superscript"/>
        </w:rPr>
        <w:t>n</w:t>
      </w:r>
      <w:r w:rsidR="00BC5DF9" w:rsidRPr="00BC5DF9">
        <w:rPr>
          <w:position w:val="-6"/>
          <w:vertAlign w:val="subscript"/>
        </w:rPr>
        <w:t>i=1</w:t>
      </w:r>
      <w:r w:rsidR="00BC5DF9">
        <w:t xml:space="preserve"> </w:t>
      </w:r>
      <w:r w:rsidR="00BC5DF9" w:rsidRPr="00BC5DF9">
        <w:rPr>
          <w:iCs/>
        </w:rPr>
        <w:t>(</w:t>
      </w:r>
      <w:r w:rsidRPr="00471E5F">
        <w:t>0</w:t>
      </w:r>
      <w:proofErr w:type="gramStart"/>
      <w:r w:rsidRPr="00471E5F">
        <w:t>,15</w:t>
      </w:r>
      <w:proofErr w:type="gramEnd"/>
      <w:r w:rsidR="00BC5DF9">
        <w:rPr>
          <w:rFonts w:ascii="Tahoma" w:hAnsi="Tahoma" w:cs="Tahoma"/>
        </w:rPr>
        <w:t xml:space="preserve"> </w:t>
      </w:r>
      <w:r w:rsidR="00BC5DF9" w:rsidRPr="00471E5F">
        <w:t>·</w:t>
      </w:r>
      <w:r w:rsidR="00BC5DF9">
        <w:t xml:space="preserve"> </w:t>
      </w:r>
      <w:proofErr w:type="spellStart"/>
      <w:r w:rsidRPr="00471E5F">
        <w:rPr>
          <w:i/>
          <w:iCs/>
        </w:rPr>
        <w:t>RF</w:t>
      </w:r>
      <w:r w:rsidRPr="00BC5DF9">
        <w:rPr>
          <w:i/>
          <w:iCs/>
          <w:vertAlign w:val="subscript"/>
        </w:rPr>
        <w:t>nom</w:t>
      </w:r>
      <w:r w:rsidRPr="00471E5F">
        <w:rPr>
          <w:i/>
          <w:iCs/>
        </w:rPr>
        <w:t>,</w:t>
      </w:r>
      <w:r w:rsidR="00BC5DF9">
        <w:rPr>
          <w:i/>
          <w:iCs/>
          <w:vertAlign w:val="subscript"/>
        </w:rPr>
        <w:t>i</w:t>
      </w:r>
      <w:proofErr w:type="spellEnd"/>
      <w:r w:rsidR="00BC5DF9">
        <w:t xml:space="preserve"> + </w:t>
      </w:r>
      <w:r w:rsidRPr="00471E5F">
        <w:t>0,85</w:t>
      </w:r>
      <w:r w:rsidR="00BC5DF9">
        <w:rPr>
          <w:rFonts w:ascii="Tahoma" w:hAnsi="Tahoma" w:cs="Tahoma"/>
        </w:rPr>
        <w:t xml:space="preserve"> </w:t>
      </w:r>
      <w:r w:rsidR="00BC5DF9" w:rsidRPr="00471E5F">
        <w:t>·</w:t>
      </w:r>
      <w:r w:rsidR="00BC5DF9">
        <w:t xml:space="preserve"> </w:t>
      </w:r>
      <w:proofErr w:type="spellStart"/>
      <w:r w:rsidRPr="00BC5DF9">
        <w:rPr>
          <w:i/>
          <w:iCs/>
        </w:rPr>
        <w:t>RF</w:t>
      </w:r>
      <w:r w:rsidRPr="00BC5DF9">
        <w:rPr>
          <w:i/>
          <w:iCs/>
          <w:vertAlign w:val="subscript"/>
        </w:rPr>
        <w:t>min,i</w:t>
      </w:r>
      <w:proofErr w:type="spellEnd"/>
      <w:r w:rsidR="00BC5DF9">
        <w:rPr>
          <w:vertAlign w:val="subscript"/>
        </w:rPr>
        <w:t xml:space="preserve"> </w:t>
      </w:r>
      <w:r w:rsidR="00BC5DF9">
        <w:t xml:space="preserve">) </w:t>
      </w:r>
      <w:r w:rsidR="00BC5DF9" w:rsidRPr="00471E5F">
        <w:t>·</w:t>
      </w:r>
      <w:r w:rsidR="00BC5DF9">
        <w:t xml:space="preserve"> </w:t>
      </w:r>
      <w:proofErr w:type="spellStart"/>
      <w:r w:rsidRPr="00BC5DF9">
        <w:rPr>
          <w:i/>
          <w:iCs/>
        </w:rPr>
        <w:t>P</w:t>
      </w:r>
      <w:r w:rsidRPr="00BC5DF9">
        <w:rPr>
          <w:i/>
          <w:iCs/>
          <w:vertAlign w:val="subscript"/>
        </w:rPr>
        <w:t>heater</w:t>
      </w:r>
      <w:r w:rsidR="00BC5DF9" w:rsidRPr="00BC5DF9">
        <w:rPr>
          <w:i/>
          <w:iCs/>
          <w:vertAlign w:val="subscript"/>
        </w:rPr>
        <w:t>,i</w:t>
      </w:r>
      <w:proofErr w:type="spellEnd"/>
      <w:r w:rsidR="00BC5DF9" w:rsidRPr="00BC5DF9">
        <w:rPr>
          <w:i/>
          <w:iCs/>
          <w:vertAlign w:val="subscript"/>
        </w:rPr>
        <w:t xml:space="preserve"> </w:t>
      </w:r>
      <w:r w:rsidR="00BC5DF9">
        <w:rPr>
          <w:i/>
          <w:iCs/>
        </w:rPr>
        <w:t xml:space="preserve">/ </w:t>
      </w:r>
      <w:proofErr w:type="spellStart"/>
      <w:r w:rsidRPr="00471E5F">
        <w:rPr>
          <w:i/>
          <w:iCs/>
        </w:rPr>
        <w:t>P</w:t>
      </w:r>
      <w:r w:rsidRPr="00BC5DF9">
        <w:rPr>
          <w:i/>
          <w:iCs/>
          <w:vertAlign w:val="subscript"/>
        </w:rPr>
        <w:t>system</w:t>
      </w:r>
      <w:proofErr w:type="spellEnd"/>
    </w:p>
    <w:p w14:paraId="4731CD21" w14:textId="77777777" w:rsidR="00BC5DF9" w:rsidRDefault="00471E5F" w:rsidP="00471E5F">
      <w:pPr>
        <w:pStyle w:val="Text2"/>
      </w:pPr>
      <w:r w:rsidRPr="00471E5F">
        <w:t xml:space="preserve">Where: </w:t>
      </w:r>
    </w:p>
    <w:p w14:paraId="1D15A46B" w14:textId="2DB9BF62" w:rsidR="00BC5DF9" w:rsidRDefault="00BC5DF9" w:rsidP="00BC5DF9">
      <w:pPr>
        <w:pStyle w:val="Tiret2"/>
      </w:pPr>
      <w:proofErr w:type="spellStart"/>
      <w:r w:rsidRPr="00471E5F">
        <w:rPr>
          <w:i/>
          <w:iCs/>
        </w:rPr>
        <w:t>RF</w:t>
      </w:r>
      <w:r w:rsidRPr="00BC5DF9">
        <w:rPr>
          <w:i/>
          <w:iCs/>
          <w:vertAlign w:val="subscript"/>
        </w:rPr>
        <w:t>nom</w:t>
      </w:r>
      <w:r w:rsidRPr="00471E5F">
        <w:rPr>
          <w:i/>
          <w:iCs/>
        </w:rPr>
        <w:t>,</w:t>
      </w:r>
      <w:r>
        <w:rPr>
          <w:i/>
          <w:iCs/>
          <w:vertAlign w:val="subscript"/>
        </w:rPr>
        <w:t>i</w:t>
      </w:r>
      <w:proofErr w:type="spellEnd"/>
      <w:r>
        <w:t xml:space="preserve"> </w:t>
      </w:r>
      <w:r w:rsidR="00471E5F" w:rsidRPr="00471E5F">
        <w:t xml:space="preserve">is the radiant factor per tube segment at nominal heat output, expressed in %; </w:t>
      </w:r>
    </w:p>
    <w:p w14:paraId="086049E1" w14:textId="7677FF1F" w:rsidR="00BC5DF9" w:rsidRDefault="00BC5DF9" w:rsidP="00BC5DF9">
      <w:pPr>
        <w:pStyle w:val="Tiret2"/>
      </w:pPr>
      <w:proofErr w:type="spellStart"/>
      <w:r w:rsidRPr="00BC5DF9">
        <w:rPr>
          <w:i/>
          <w:iCs/>
        </w:rPr>
        <w:t>RF</w:t>
      </w:r>
      <w:r w:rsidRPr="00BC5DF9">
        <w:rPr>
          <w:i/>
          <w:iCs/>
          <w:vertAlign w:val="subscript"/>
        </w:rPr>
        <w:t>min,i</w:t>
      </w:r>
      <w:proofErr w:type="spellEnd"/>
      <w:r w:rsidR="00471E5F" w:rsidRPr="00471E5F">
        <w:t xml:space="preserve"> is the radiant factor per tube segment at minimum heat output, expressed in %; </w:t>
      </w:r>
    </w:p>
    <w:p w14:paraId="6D6B1D64" w14:textId="32D683AF" w:rsidR="00BC5DF9" w:rsidRDefault="00BC5DF9" w:rsidP="00BC5DF9">
      <w:pPr>
        <w:pStyle w:val="Tiret2"/>
      </w:pPr>
      <w:proofErr w:type="spellStart"/>
      <w:r w:rsidRPr="00BC5DF9">
        <w:rPr>
          <w:i/>
          <w:iCs/>
        </w:rPr>
        <w:t>P</w:t>
      </w:r>
      <w:r w:rsidRPr="00BC5DF9">
        <w:rPr>
          <w:i/>
          <w:iCs/>
          <w:vertAlign w:val="subscript"/>
        </w:rPr>
        <w:t>heater,i</w:t>
      </w:r>
      <w:proofErr w:type="spellEnd"/>
      <w:r w:rsidR="00471E5F" w:rsidRPr="00471E5F">
        <w:t xml:space="preserve"> is the heat output per tube segment, expressed in kW, based on GCV; </w:t>
      </w:r>
    </w:p>
    <w:p w14:paraId="110A6A46" w14:textId="08B7DB20" w:rsidR="00BC5DF9" w:rsidRDefault="00BC5DF9" w:rsidP="00BC5DF9">
      <w:pPr>
        <w:pStyle w:val="Tiret2"/>
      </w:pPr>
      <w:proofErr w:type="spellStart"/>
      <w:proofErr w:type="gramStart"/>
      <w:r w:rsidRPr="00471E5F">
        <w:rPr>
          <w:i/>
          <w:iCs/>
        </w:rPr>
        <w:t>P</w:t>
      </w:r>
      <w:r w:rsidRPr="00BC5DF9">
        <w:rPr>
          <w:i/>
          <w:iCs/>
          <w:vertAlign w:val="subscript"/>
        </w:rPr>
        <w:t>system</w:t>
      </w:r>
      <w:proofErr w:type="spellEnd"/>
      <w:r w:rsidR="00471E5F" w:rsidRPr="00471E5F">
        <w:t>,</w:t>
      </w:r>
      <w:proofErr w:type="gramEnd"/>
      <w:r w:rsidR="00471E5F" w:rsidRPr="00471E5F">
        <w:t xml:space="preserve"> is the heat output of the complete tube system, expressed in kW, based on GCV. </w:t>
      </w:r>
    </w:p>
    <w:p w14:paraId="195FFB66" w14:textId="73BABF1A" w:rsidR="00471E5F" w:rsidRPr="00471E5F" w:rsidRDefault="00471E5F" w:rsidP="00BC5DF9">
      <w:pPr>
        <w:pStyle w:val="Text2"/>
      </w:pPr>
      <w:r w:rsidRPr="00471E5F">
        <w:t>The above equation only applies if the construction of the burner, tubes and reflectors of the tube segment as applied in the tube system is identical to a single tube local space heater and the settings that determine the performance of a the tube segment are identical to those of a single tube local space heater.</w:t>
      </w:r>
      <w:r w:rsidR="00BC5DF9">
        <w:t>’;</w:t>
      </w:r>
    </w:p>
    <w:p w14:paraId="0C391058" w14:textId="74E48D19" w:rsidR="00625B2F" w:rsidRDefault="00625B2F" w:rsidP="00625B2F">
      <w:pPr>
        <w:pStyle w:val="Point1letter"/>
      </w:pPr>
      <w:r>
        <w:t>Table 6 is replaced by the following:</w:t>
      </w:r>
    </w:p>
    <w:p w14:paraId="0434AE81" w14:textId="77777777" w:rsidR="00625B2F" w:rsidRDefault="00625B2F" w:rsidP="00625B2F">
      <w:pPr>
        <w:pStyle w:val="Text2"/>
        <w:jc w:val="center"/>
        <w:rPr>
          <w:i/>
          <w:iCs/>
        </w:rPr>
      </w:pPr>
      <w:r>
        <w:rPr>
          <w:i/>
          <w:iCs/>
        </w:rPr>
        <w:t>‘Table 6</w:t>
      </w:r>
    </w:p>
    <w:p w14:paraId="7417369E" w14:textId="77777777" w:rsidR="00625B2F" w:rsidRPr="004C1309" w:rsidRDefault="00625B2F" w:rsidP="00625B2F">
      <w:pPr>
        <w:pStyle w:val="Text2"/>
        <w:jc w:val="center"/>
        <w:rPr>
          <w:b/>
        </w:rPr>
      </w:pPr>
      <w:r w:rsidRPr="004C1309">
        <w:rPr>
          <w:b/>
        </w:rPr>
        <w:t xml:space="preserve">Correction factor </w:t>
      </w:r>
      <w:proofErr w:type="gramStart"/>
      <w:r w:rsidRPr="004C1309">
        <w:rPr>
          <w:b/>
          <w:i/>
          <w:iCs/>
        </w:rPr>
        <w:t>F</w:t>
      </w:r>
      <w:r w:rsidRPr="004C1309">
        <w:rPr>
          <w:b/>
        </w:rPr>
        <w:t>(</w:t>
      </w:r>
      <w:proofErr w:type="gramEnd"/>
      <w:r w:rsidRPr="004C1309">
        <w:rPr>
          <w:b/>
        </w:rPr>
        <w:t>1) for commercial local space heaters</w:t>
      </w:r>
    </w:p>
    <w:tbl>
      <w:tblPr>
        <w:tblStyle w:val="TableGrid"/>
        <w:tblW w:w="5000" w:type="pct"/>
        <w:jc w:val="center"/>
        <w:tblBorders>
          <w:left w:val="none" w:sz="0" w:space="0" w:color="auto"/>
          <w:right w:val="none" w:sz="0" w:space="0" w:color="auto"/>
        </w:tblBorders>
        <w:tblLook w:val="04A0" w:firstRow="1" w:lastRow="0" w:firstColumn="1" w:lastColumn="0" w:noHBand="0" w:noVBand="1"/>
      </w:tblPr>
      <w:tblGrid>
        <w:gridCol w:w="2269"/>
        <w:gridCol w:w="4440"/>
        <w:gridCol w:w="2580"/>
      </w:tblGrid>
      <w:tr w:rsidR="00625B2F" w:rsidRPr="00B950DA" w14:paraId="2352F7C3" w14:textId="77777777" w:rsidTr="00F43F07">
        <w:trPr>
          <w:jc w:val="center"/>
        </w:trPr>
        <w:tc>
          <w:tcPr>
            <w:tcW w:w="1221" w:type="pct"/>
            <w:vAlign w:val="center"/>
          </w:tcPr>
          <w:p w14:paraId="39974E99" w14:textId="77777777" w:rsidR="00625B2F" w:rsidRPr="00B950DA" w:rsidRDefault="00625B2F" w:rsidP="00F43F07">
            <w:pPr>
              <w:jc w:val="center"/>
              <w:rPr>
                <w:rFonts w:eastAsiaTheme="minorHAnsi"/>
                <w:sz w:val="22"/>
              </w:rPr>
            </w:pPr>
            <w:r w:rsidRPr="00B950DA">
              <w:rPr>
                <w:rFonts w:eastAsiaTheme="minorHAnsi"/>
                <w:sz w:val="22"/>
              </w:rPr>
              <w:t>If the heat output control type of the product is:</w:t>
            </w:r>
          </w:p>
        </w:tc>
        <w:tc>
          <w:tcPr>
            <w:tcW w:w="2390" w:type="pct"/>
            <w:vAlign w:val="center"/>
          </w:tcPr>
          <w:p w14:paraId="7CAF1F84" w14:textId="77777777" w:rsidR="00625B2F" w:rsidRPr="00B950DA" w:rsidRDefault="00625B2F" w:rsidP="00F43F07">
            <w:pPr>
              <w:jc w:val="center"/>
              <w:rPr>
                <w:rFonts w:eastAsiaTheme="minorHAnsi"/>
                <w:sz w:val="22"/>
              </w:rPr>
            </w:pPr>
            <w:r w:rsidRPr="00B950DA">
              <w:rPr>
                <w:rFonts w:eastAsiaTheme="minorHAnsi"/>
                <w:i/>
                <w:sz w:val="22"/>
              </w:rPr>
              <w:t>F</w:t>
            </w:r>
            <w:r w:rsidRPr="00B950DA">
              <w:rPr>
                <w:rFonts w:eastAsiaTheme="minorHAnsi"/>
                <w:sz w:val="22"/>
              </w:rPr>
              <w:t>(1):</w:t>
            </w:r>
          </w:p>
        </w:tc>
        <w:tc>
          <w:tcPr>
            <w:tcW w:w="1389" w:type="pct"/>
            <w:vAlign w:val="center"/>
          </w:tcPr>
          <w:p w14:paraId="65590648" w14:textId="77777777" w:rsidR="00625B2F" w:rsidRPr="00B950DA" w:rsidRDefault="00625B2F" w:rsidP="00F43F07">
            <w:pPr>
              <w:jc w:val="center"/>
              <w:rPr>
                <w:rFonts w:eastAsiaTheme="minorHAnsi"/>
                <w:sz w:val="22"/>
              </w:rPr>
            </w:pPr>
            <w:r w:rsidRPr="00B950DA">
              <w:rPr>
                <w:rFonts w:eastAsiaTheme="minorHAnsi"/>
                <w:sz w:val="22"/>
              </w:rPr>
              <w:t>With the following limits:</w:t>
            </w:r>
          </w:p>
        </w:tc>
      </w:tr>
      <w:tr w:rsidR="00625B2F" w:rsidRPr="00B950DA" w14:paraId="7D775ADA" w14:textId="77777777" w:rsidTr="00F43F07">
        <w:trPr>
          <w:jc w:val="center"/>
        </w:trPr>
        <w:tc>
          <w:tcPr>
            <w:tcW w:w="1221" w:type="pct"/>
            <w:vAlign w:val="center"/>
          </w:tcPr>
          <w:p w14:paraId="40F7B421" w14:textId="77777777" w:rsidR="00625B2F" w:rsidRPr="00B950DA" w:rsidRDefault="00625B2F" w:rsidP="00F43F07">
            <w:pPr>
              <w:rPr>
                <w:rFonts w:eastAsiaTheme="minorHAnsi"/>
                <w:sz w:val="22"/>
              </w:rPr>
            </w:pPr>
            <w:r w:rsidRPr="00B950DA">
              <w:rPr>
                <w:rFonts w:eastAsiaTheme="minorHAnsi"/>
                <w:sz w:val="22"/>
              </w:rPr>
              <w:t>Single stage</w:t>
            </w:r>
          </w:p>
        </w:tc>
        <w:tc>
          <w:tcPr>
            <w:tcW w:w="2390" w:type="pct"/>
            <w:vAlign w:val="center"/>
          </w:tcPr>
          <w:p w14:paraId="79C629FB" w14:textId="77777777" w:rsidR="00625B2F" w:rsidRPr="00B950DA" w:rsidRDefault="00625B2F" w:rsidP="00F43F07">
            <w:pPr>
              <w:jc w:val="center"/>
              <w:rPr>
                <w:rFonts w:eastAsiaTheme="minorHAnsi"/>
                <w:sz w:val="22"/>
              </w:rPr>
            </w:pPr>
            <w:r w:rsidRPr="00B950DA">
              <w:rPr>
                <w:rFonts w:eastAsiaTheme="minorHAnsi"/>
                <w:i/>
                <w:sz w:val="22"/>
              </w:rPr>
              <w:t>F</w:t>
            </w:r>
            <w:r w:rsidRPr="00B950DA">
              <w:rPr>
                <w:rFonts w:eastAsiaTheme="minorHAnsi"/>
                <w:sz w:val="22"/>
              </w:rPr>
              <w:t>(1) = 5%</w:t>
            </w:r>
          </w:p>
        </w:tc>
        <w:tc>
          <w:tcPr>
            <w:tcW w:w="1389" w:type="pct"/>
          </w:tcPr>
          <w:p w14:paraId="424573C6" w14:textId="77777777" w:rsidR="00625B2F" w:rsidRPr="00B950DA" w:rsidRDefault="00625B2F" w:rsidP="00F43F07">
            <w:pPr>
              <w:rPr>
                <w:rFonts w:eastAsiaTheme="minorHAnsi"/>
                <w:i/>
                <w:sz w:val="22"/>
              </w:rPr>
            </w:pPr>
          </w:p>
        </w:tc>
      </w:tr>
      <w:tr w:rsidR="00625B2F" w:rsidRPr="00B950DA" w14:paraId="3C683BAF" w14:textId="77777777" w:rsidTr="00F43F07">
        <w:trPr>
          <w:jc w:val="center"/>
        </w:trPr>
        <w:tc>
          <w:tcPr>
            <w:tcW w:w="1221" w:type="pct"/>
            <w:vAlign w:val="center"/>
          </w:tcPr>
          <w:p w14:paraId="66E55AEC" w14:textId="77777777" w:rsidR="00625B2F" w:rsidRPr="00B950DA" w:rsidRDefault="00625B2F" w:rsidP="00F43F07">
            <w:pPr>
              <w:rPr>
                <w:rFonts w:eastAsiaTheme="minorHAnsi"/>
                <w:sz w:val="22"/>
              </w:rPr>
            </w:pPr>
            <w:r w:rsidRPr="00B950DA">
              <w:rPr>
                <w:rFonts w:eastAsiaTheme="minorHAnsi"/>
                <w:sz w:val="22"/>
              </w:rPr>
              <w:t>Two stage</w:t>
            </w:r>
          </w:p>
        </w:tc>
        <w:tc>
          <w:tcPr>
            <w:tcW w:w="2390" w:type="pct"/>
            <w:vAlign w:val="center"/>
          </w:tcPr>
          <w:p w14:paraId="07DE0826" w14:textId="51FFA583" w:rsidR="00625B2F" w:rsidRPr="00B950DA" w:rsidRDefault="00625B2F" w:rsidP="00F43F07">
            <w:pPr>
              <w:jc w:val="center"/>
              <w:rPr>
                <w:rFonts w:eastAsiaTheme="minorHAnsi"/>
                <w:i/>
                <w:sz w:val="22"/>
              </w:rPr>
            </w:pPr>
            <w:r w:rsidRPr="00B950DA">
              <w:rPr>
                <w:i/>
                <w:sz w:val="22"/>
              </w:rPr>
              <w:t>F</w:t>
            </w:r>
            <w:r w:rsidRPr="00B950DA">
              <w:rPr>
                <w:sz w:val="22"/>
              </w:rPr>
              <w:t xml:space="preserve">(1) = 5 % - (2,5 % </w:t>
            </w:r>
            <w:r w:rsidR="00471E5F">
              <w:rPr>
                <w:sz w:val="22"/>
              </w:rPr>
              <w:t>·</w:t>
            </w:r>
            <w:r w:rsidRPr="00B950DA">
              <w:rPr>
                <w:sz w:val="22"/>
              </w:rPr>
              <w:t xml:space="preserve"> (</w:t>
            </w:r>
            <w:proofErr w:type="spellStart"/>
            <w:r w:rsidRPr="00B950DA">
              <w:rPr>
                <w:i/>
                <w:sz w:val="22"/>
              </w:rPr>
              <w:t>P</w:t>
            </w:r>
            <w:r w:rsidRPr="00B950DA">
              <w:rPr>
                <w:i/>
                <w:sz w:val="22"/>
                <w:vertAlign w:val="subscript"/>
              </w:rPr>
              <w:t>nom</w:t>
            </w:r>
            <w:proofErr w:type="spellEnd"/>
            <w:r w:rsidRPr="00B950DA">
              <w:rPr>
                <w:sz w:val="22"/>
              </w:rPr>
              <w:t xml:space="preserve"> – </w:t>
            </w:r>
            <w:proofErr w:type="spellStart"/>
            <w:r w:rsidRPr="00B950DA">
              <w:rPr>
                <w:i/>
                <w:sz w:val="22"/>
              </w:rPr>
              <w:t>P</w:t>
            </w:r>
            <w:r w:rsidRPr="00B950DA">
              <w:rPr>
                <w:i/>
                <w:sz w:val="22"/>
                <w:vertAlign w:val="subscript"/>
              </w:rPr>
              <w:t>min</w:t>
            </w:r>
            <w:proofErr w:type="spellEnd"/>
            <w:r w:rsidRPr="00B950DA">
              <w:rPr>
                <w:sz w:val="22"/>
              </w:rPr>
              <w:t>)/0,3</w:t>
            </w:r>
            <w:r>
              <w:rPr>
                <w:sz w:val="22"/>
              </w:rPr>
              <w:t xml:space="preserve"> </w:t>
            </w:r>
            <w:r w:rsidR="00471E5F">
              <w:rPr>
                <w:sz w:val="22"/>
              </w:rPr>
              <w:t>·</w:t>
            </w:r>
            <w:r>
              <w:rPr>
                <w:sz w:val="22"/>
              </w:rPr>
              <w:t xml:space="preserve"> </w:t>
            </w:r>
            <w:proofErr w:type="spellStart"/>
            <w:r w:rsidRPr="00B950DA">
              <w:rPr>
                <w:i/>
                <w:sz w:val="22"/>
              </w:rPr>
              <w:t>P</w:t>
            </w:r>
            <w:r w:rsidRPr="00B950DA">
              <w:rPr>
                <w:i/>
                <w:sz w:val="22"/>
                <w:vertAlign w:val="subscript"/>
              </w:rPr>
              <w:t>nom</w:t>
            </w:r>
            <w:proofErr w:type="spellEnd"/>
            <w:r w:rsidRPr="00B950DA">
              <w:rPr>
                <w:sz w:val="22"/>
              </w:rPr>
              <w:t>)</w:t>
            </w:r>
          </w:p>
        </w:tc>
        <w:tc>
          <w:tcPr>
            <w:tcW w:w="1389" w:type="pct"/>
            <w:vAlign w:val="center"/>
          </w:tcPr>
          <w:p w14:paraId="6BEB494F" w14:textId="77777777" w:rsidR="00625B2F" w:rsidRPr="00B950DA" w:rsidRDefault="00625B2F" w:rsidP="00F43F07">
            <w:pPr>
              <w:jc w:val="center"/>
              <w:rPr>
                <w:rFonts w:eastAsiaTheme="minorHAnsi"/>
                <w:sz w:val="22"/>
              </w:rPr>
            </w:pPr>
            <w:r w:rsidRPr="00B950DA">
              <w:rPr>
                <w:rFonts w:eastAsiaTheme="minorHAnsi"/>
                <w:sz w:val="22"/>
              </w:rPr>
              <w:t xml:space="preserve">2,5% ≤ </w:t>
            </w:r>
            <w:r w:rsidRPr="00B950DA">
              <w:rPr>
                <w:rFonts w:eastAsiaTheme="minorHAnsi"/>
                <w:i/>
                <w:sz w:val="22"/>
              </w:rPr>
              <w:t>F</w:t>
            </w:r>
            <w:r w:rsidRPr="00B950DA">
              <w:rPr>
                <w:rFonts w:eastAsiaTheme="minorHAnsi"/>
                <w:sz w:val="22"/>
              </w:rPr>
              <w:t>(1) ≤ 5,0%</w:t>
            </w:r>
          </w:p>
        </w:tc>
      </w:tr>
      <w:tr w:rsidR="00625B2F" w:rsidRPr="00B950DA" w14:paraId="6803D6D2" w14:textId="77777777" w:rsidTr="00F43F07">
        <w:trPr>
          <w:jc w:val="center"/>
        </w:trPr>
        <w:tc>
          <w:tcPr>
            <w:tcW w:w="1221" w:type="pct"/>
            <w:vAlign w:val="center"/>
          </w:tcPr>
          <w:p w14:paraId="05C67647" w14:textId="77777777" w:rsidR="00625B2F" w:rsidRPr="00B950DA" w:rsidRDefault="00625B2F" w:rsidP="00F43F07">
            <w:pPr>
              <w:rPr>
                <w:rFonts w:eastAsiaTheme="minorHAnsi"/>
                <w:sz w:val="22"/>
              </w:rPr>
            </w:pPr>
            <w:r w:rsidRPr="00B950DA">
              <w:rPr>
                <w:rFonts w:eastAsiaTheme="minorHAnsi"/>
                <w:sz w:val="22"/>
              </w:rPr>
              <w:t>Modulating</w:t>
            </w:r>
          </w:p>
        </w:tc>
        <w:tc>
          <w:tcPr>
            <w:tcW w:w="2390" w:type="pct"/>
            <w:vAlign w:val="center"/>
          </w:tcPr>
          <w:p w14:paraId="29B44322" w14:textId="53026E31" w:rsidR="00625B2F" w:rsidRPr="00B950DA" w:rsidRDefault="00625B2F" w:rsidP="00F43F07">
            <w:pPr>
              <w:jc w:val="center"/>
              <w:rPr>
                <w:rFonts w:eastAsiaTheme="minorHAnsi"/>
                <w:i/>
                <w:sz w:val="22"/>
              </w:rPr>
            </w:pPr>
            <w:r w:rsidRPr="00B950DA">
              <w:rPr>
                <w:i/>
                <w:sz w:val="22"/>
              </w:rPr>
              <w:t>F</w:t>
            </w:r>
            <w:r w:rsidRPr="00B950DA">
              <w:rPr>
                <w:sz w:val="22"/>
              </w:rPr>
              <w:t xml:space="preserve">(1) = 5 % - (5 % </w:t>
            </w:r>
            <w:r w:rsidR="00471E5F">
              <w:rPr>
                <w:sz w:val="22"/>
              </w:rPr>
              <w:t>·</w:t>
            </w:r>
            <w:r w:rsidRPr="00B950DA">
              <w:rPr>
                <w:sz w:val="22"/>
              </w:rPr>
              <w:t xml:space="preserve"> (</w:t>
            </w:r>
            <w:proofErr w:type="spellStart"/>
            <w:r w:rsidRPr="00B950DA">
              <w:rPr>
                <w:i/>
                <w:sz w:val="22"/>
              </w:rPr>
              <w:t>P</w:t>
            </w:r>
            <w:r w:rsidRPr="00B950DA">
              <w:rPr>
                <w:i/>
                <w:sz w:val="22"/>
                <w:vertAlign w:val="subscript"/>
              </w:rPr>
              <w:t>nom</w:t>
            </w:r>
            <w:proofErr w:type="spellEnd"/>
            <w:r w:rsidRPr="00B950DA">
              <w:rPr>
                <w:sz w:val="22"/>
              </w:rPr>
              <w:t xml:space="preserve"> – </w:t>
            </w:r>
            <w:proofErr w:type="spellStart"/>
            <w:r w:rsidRPr="00B950DA">
              <w:rPr>
                <w:i/>
                <w:sz w:val="22"/>
              </w:rPr>
              <w:t>P</w:t>
            </w:r>
            <w:r w:rsidRPr="00B950DA">
              <w:rPr>
                <w:i/>
                <w:sz w:val="22"/>
                <w:vertAlign w:val="subscript"/>
              </w:rPr>
              <w:t>min</w:t>
            </w:r>
            <w:proofErr w:type="spellEnd"/>
            <w:r w:rsidRPr="00B950DA">
              <w:rPr>
                <w:sz w:val="22"/>
              </w:rPr>
              <w:t>)/0,4</w:t>
            </w:r>
            <w:r>
              <w:rPr>
                <w:sz w:val="22"/>
              </w:rPr>
              <w:t xml:space="preserve"> </w:t>
            </w:r>
            <w:r w:rsidR="00471E5F">
              <w:rPr>
                <w:sz w:val="22"/>
              </w:rPr>
              <w:t>·</w:t>
            </w:r>
            <w:r>
              <w:rPr>
                <w:sz w:val="22"/>
              </w:rPr>
              <w:t xml:space="preserve"> </w:t>
            </w:r>
            <w:proofErr w:type="spellStart"/>
            <w:r w:rsidRPr="00B950DA">
              <w:rPr>
                <w:i/>
                <w:sz w:val="22"/>
              </w:rPr>
              <w:t>P</w:t>
            </w:r>
            <w:r w:rsidRPr="00B950DA">
              <w:rPr>
                <w:i/>
                <w:sz w:val="22"/>
                <w:vertAlign w:val="subscript"/>
              </w:rPr>
              <w:t>nom</w:t>
            </w:r>
            <w:proofErr w:type="spellEnd"/>
            <w:r w:rsidRPr="00B950DA">
              <w:rPr>
                <w:sz w:val="22"/>
              </w:rPr>
              <w:t>)</w:t>
            </w:r>
          </w:p>
        </w:tc>
        <w:tc>
          <w:tcPr>
            <w:tcW w:w="1389" w:type="pct"/>
            <w:vAlign w:val="center"/>
          </w:tcPr>
          <w:p w14:paraId="038031D1" w14:textId="77777777" w:rsidR="00625B2F" w:rsidRPr="00B950DA" w:rsidRDefault="00625B2F" w:rsidP="00F43F07">
            <w:pPr>
              <w:jc w:val="center"/>
              <w:rPr>
                <w:rFonts w:eastAsiaTheme="minorHAnsi"/>
                <w:sz w:val="22"/>
              </w:rPr>
            </w:pPr>
            <w:r w:rsidRPr="00B950DA">
              <w:rPr>
                <w:rFonts w:eastAsiaTheme="minorHAnsi"/>
                <w:sz w:val="22"/>
              </w:rPr>
              <w:t xml:space="preserve">0 % ≤ </w:t>
            </w:r>
            <w:r w:rsidRPr="00B950DA">
              <w:rPr>
                <w:rFonts w:eastAsiaTheme="minorHAnsi"/>
                <w:i/>
                <w:sz w:val="22"/>
              </w:rPr>
              <w:t>F</w:t>
            </w:r>
            <w:r w:rsidRPr="00B950DA">
              <w:rPr>
                <w:rFonts w:eastAsiaTheme="minorHAnsi"/>
                <w:sz w:val="22"/>
              </w:rPr>
              <w:t>(1) ≤ 5,0%</w:t>
            </w:r>
          </w:p>
        </w:tc>
      </w:tr>
    </w:tbl>
    <w:p w14:paraId="76552375" w14:textId="77777777" w:rsidR="00625B2F" w:rsidRDefault="00625B2F" w:rsidP="00625B2F">
      <w:pPr>
        <w:pStyle w:val="Point0number"/>
        <w:numPr>
          <w:ilvl w:val="0"/>
          <w:numId w:val="0"/>
        </w:numPr>
        <w:ind w:left="850"/>
      </w:pPr>
      <w:r>
        <w:t>’;</w:t>
      </w:r>
    </w:p>
    <w:p w14:paraId="13C32E21" w14:textId="5E7751B0" w:rsidR="00625B2F" w:rsidRDefault="00625B2F" w:rsidP="00625B2F">
      <w:pPr>
        <w:pStyle w:val="Point1letter"/>
      </w:pPr>
      <w:r>
        <w:t>Table 7 is replaced by the following:</w:t>
      </w:r>
    </w:p>
    <w:p w14:paraId="2F282349" w14:textId="08782792" w:rsidR="00F43F07" w:rsidRDefault="00F43F07" w:rsidP="00F43F07">
      <w:pPr>
        <w:pStyle w:val="Text2"/>
        <w:jc w:val="center"/>
        <w:rPr>
          <w:i/>
          <w:iCs/>
        </w:rPr>
      </w:pPr>
      <w:r>
        <w:rPr>
          <w:i/>
          <w:iCs/>
        </w:rPr>
        <w:t xml:space="preserve">‘Table 7 </w:t>
      </w:r>
    </w:p>
    <w:p w14:paraId="2285B2D8" w14:textId="48D85B01" w:rsidR="00F43F07" w:rsidRPr="00F43F07" w:rsidRDefault="00F43F07" w:rsidP="00F43F07">
      <w:pPr>
        <w:pStyle w:val="Text2"/>
        <w:jc w:val="center"/>
        <w:rPr>
          <w:b/>
        </w:rPr>
      </w:pPr>
      <w:r w:rsidRPr="00F43F07">
        <w:rPr>
          <w:b/>
        </w:rPr>
        <w:t xml:space="preserve">Correction factor </w:t>
      </w:r>
      <w:proofErr w:type="gramStart"/>
      <w:r w:rsidRPr="00F43F07">
        <w:rPr>
          <w:b/>
          <w:i/>
          <w:iCs/>
        </w:rPr>
        <w:t>F</w:t>
      </w:r>
      <w:r w:rsidRPr="00F43F07">
        <w:rPr>
          <w:b/>
        </w:rPr>
        <w:t>(</w:t>
      </w:r>
      <w:proofErr w:type="gramEnd"/>
      <w:r w:rsidRPr="00F43F07">
        <w:rPr>
          <w:b/>
        </w:rPr>
        <w:t>2)</w:t>
      </w:r>
    </w:p>
    <w:tbl>
      <w:tblPr>
        <w:tblStyle w:val="TableGrid"/>
        <w:tblW w:w="9179" w:type="dxa"/>
        <w:tblBorders>
          <w:left w:val="none" w:sz="0" w:space="0" w:color="auto"/>
          <w:right w:val="none" w:sz="0" w:space="0" w:color="auto"/>
        </w:tblBorders>
        <w:tblLayout w:type="fixed"/>
        <w:tblLook w:val="04A0" w:firstRow="1" w:lastRow="0" w:firstColumn="1" w:lastColumn="0" w:noHBand="0" w:noVBand="1"/>
      </w:tblPr>
      <w:tblGrid>
        <w:gridCol w:w="2834"/>
        <w:gridCol w:w="990"/>
        <w:gridCol w:w="991"/>
        <w:gridCol w:w="991"/>
        <w:gridCol w:w="991"/>
        <w:gridCol w:w="991"/>
        <w:gridCol w:w="1391"/>
      </w:tblGrid>
      <w:tr w:rsidR="00F43F07" w:rsidRPr="00641FF2" w14:paraId="4C0C98D0" w14:textId="77777777" w:rsidTr="00F43F07">
        <w:trPr>
          <w:trHeight w:val="264"/>
        </w:trPr>
        <w:tc>
          <w:tcPr>
            <w:tcW w:w="2834" w:type="dxa"/>
            <w:vMerge w:val="restart"/>
            <w:noWrap/>
            <w:vAlign w:val="center"/>
          </w:tcPr>
          <w:p w14:paraId="2F6D9C15" w14:textId="6F62BDF7" w:rsidR="00F43F07" w:rsidRPr="003973E9" w:rsidRDefault="003973E9" w:rsidP="003973E9">
            <w:pPr>
              <w:jc w:val="center"/>
              <w:rPr>
                <w:i/>
                <w:sz w:val="22"/>
              </w:rPr>
            </w:pPr>
            <w:r w:rsidRPr="003973E9">
              <w:rPr>
                <w:sz w:val="22"/>
              </w:rPr>
              <w:t xml:space="preserve">If controls for indoor heating comfort type of the product is </w:t>
            </w:r>
            <w:r w:rsidRPr="003973E9">
              <w:rPr>
                <w:rFonts w:eastAsiaTheme="minorHAnsi"/>
                <w:sz w:val="22"/>
              </w:rPr>
              <w:t>(</w:t>
            </w:r>
            <w:r w:rsidR="00F43F07" w:rsidRPr="003973E9">
              <w:rPr>
                <w:sz w:val="22"/>
              </w:rPr>
              <w:t xml:space="preserve">only one option </w:t>
            </w:r>
            <w:r w:rsidRPr="003973E9">
              <w:rPr>
                <w:sz w:val="22"/>
              </w:rPr>
              <w:t>applies)</w:t>
            </w:r>
            <w:r w:rsidR="00F43F07" w:rsidRPr="003973E9">
              <w:rPr>
                <w:sz w:val="22"/>
              </w:rPr>
              <w:t>:</w:t>
            </w:r>
          </w:p>
        </w:tc>
        <w:tc>
          <w:tcPr>
            <w:tcW w:w="6345" w:type="dxa"/>
            <w:gridSpan w:val="6"/>
            <w:noWrap/>
          </w:tcPr>
          <w:p w14:paraId="586C4129" w14:textId="5A87D709" w:rsidR="00F43F07" w:rsidRPr="00625B2F" w:rsidRDefault="00F43F07" w:rsidP="00F43F07">
            <w:pPr>
              <w:pStyle w:val="Tablestyle"/>
              <w:keepNext/>
              <w:keepLines/>
              <w:jc w:val="center"/>
              <w:rPr>
                <w:rFonts w:ascii="Times New Roman" w:eastAsiaTheme="minorHAnsi" w:hAnsi="Times New Roman" w:cs="Times New Roman"/>
              </w:rPr>
            </w:pPr>
            <w:r w:rsidRPr="00F43F07">
              <w:rPr>
                <w:rFonts w:ascii="Times New Roman" w:eastAsiaTheme="minorHAnsi" w:hAnsi="Times New Roman" w:cs="Times New Roman"/>
                <w:i/>
              </w:rPr>
              <w:t>F</w:t>
            </w:r>
            <w:r w:rsidRPr="00F43F07">
              <w:rPr>
                <w:rFonts w:ascii="Times New Roman" w:eastAsiaTheme="minorHAnsi" w:hAnsi="Times New Roman" w:cs="Times New Roman"/>
              </w:rPr>
              <w:t>(2)</w:t>
            </w:r>
          </w:p>
        </w:tc>
      </w:tr>
      <w:tr w:rsidR="00F43F07" w:rsidRPr="00641FF2" w14:paraId="7257F12E" w14:textId="77777777" w:rsidTr="00F43F07">
        <w:trPr>
          <w:trHeight w:val="264"/>
        </w:trPr>
        <w:tc>
          <w:tcPr>
            <w:tcW w:w="2834" w:type="dxa"/>
            <w:vMerge/>
            <w:noWrap/>
          </w:tcPr>
          <w:p w14:paraId="5AE38EE0" w14:textId="77777777" w:rsidR="00F43F07" w:rsidRPr="00625B2F" w:rsidRDefault="00F43F07" w:rsidP="00625B2F">
            <w:pPr>
              <w:jc w:val="center"/>
              <w:rPr>
                <w:i/>
                <w:sz w:val="22"/>
              </w:rPr>
            </w:pPr>
          </w:p>
        </w:tc>
        <w:tc>
          <w:tcPr>
            <w:tcW w:w="4954" w:type="dxa"/>
            <w:gridSpan w:val="5"/>
            <w:noWrap/>
            <w:vAlign w:val="center"/>
          </w:tcPr>
          <w:p w14:paraId="446F1DD2" w14:textId="6369C525" w:rsidR="00F43F07" w:rsidRPr="00625B2F" w:rsidRDefault="00F43F07" w:rsidP="00F43F07">
            <w:pPr>
              <w:pStyle w:val="Tablestyle"/>
              <w:keepNext/>
              <w:keepLines/>
              <w:jc w:val="center"/>
              <w:rPr>
                <w:rFonts w:ascii="Times New Roman" w:eastAsiaTheme="minorHAnsi" w:hAnsi="Times New Roman" w:cs="Times New Roman"/>
              </w:rPr>
            </w:pPr>
            <w:r>
              <w:rPr>
                <w:rFonts w:ascii="Times New Roman" w:eastAsiaTheme="minorHAnsi" w:hAnsi="Times New Roman" w:cs="Times New Roman"/>
              </w:rPr>
              <w:t>For electric local space heaters</w:t>
            </w:r>
          </w:p>
        </w:tc>
        <w:tc>
          <w:tcPr>
            <w:tcW w:w="1391" w:type="dxa"/>
            <w:vMerge w:val="restart"/>
            <w:noWrap/>
            <w:vAlign w:val="center"/>
          </w:tcPr>
          <w:p w14:paraId="00B81F8C" w14:textId="4B0DC454" w:rsidR="00F43F07" w:rsidRPr="00625B2F" w:rsidRDefault="00F43F07" w:rsidP="00F43F07">
            <w:pPr>
              <w:pStyle w:val="Tablestyle"/>
              <w:keepNext/>
              <w:keepLines/>
              <w:jc w:val="center"/>
              <w:rPr>
                <w:rFonts w:ascii="Times New Roman" w:eastAsiaTheme="minorHAnsi" w:hAnsi="Times New Roman" w:cs="Times New Roman"/>
              </w:rPr>
            </w:pPr>
            <w:r>
              <w:rPr>
                <w:rFonts w:ascii="Times New Roman" w:eastAsiaTheme="minorHAnsi" w:hAnsi="Times New Roman" w:cs="Times New Roman"/>
              </w:rPr>
              <w:t>For local space heaters using gaseous or</w:t>
            </w:r>
          </w:p>
          <w:p w14:paraId="75D7C971" w14:textId="571A338A" w:rsidR="00F43F07" w:rsidRPr="00625B2F" w:rsidRDefault="00F43F07" w:rsidP="00F43F07">
            <w:pPr>
              <w:pStyle w:val="Tablestyle"/>
              <w:keepNext/>
              <w:keepLines/>
              <w:jc w:val="center"/>
              <w:rPr>
                <w:rFonts w:ascii="Times New Roman" w:eastAsiaTheme="minorHAnsi" w:hAnsi="Times New Roman" w:cs="Times New Roman"/>
              </w:rPr>
            </w:pPr>
            <w:r>
              <w:rPr>
                <w:rFonts w:ascii="Times New Roman" w:eastAsiaTheme="minorHAnsi" w:hAnsi="Times New Roman" w:cs="Times New Roman"/>
              </w:rPr>
              <w:t>l</w:t>
            </w:r>
            <w:r w:rsidRPr="00625B2F">
              <w:rPr>
                <w:rFonts w:ascii="Times New Roman" w:eastAsiaTheme="minorHAnsi" w:hAnsi="Times New Roman" w:cs="Times New Roman"/>
              </w:rPr>
              <w:t>iquid</w:t>
            </w:r>
            <w:r>
              <w:rPr>
                <w:rFonts w:ascii="Times New Roman" w:eastAsiaTheme="minorHAnsi" w:hAnsi="Times New Roman" w:cs="Times New Roman"/>
              </w:rPr>
              <w:t xml:space="preserve"> fuel</w:t>
            </w:r>
          </w:p>
        </w:tc>
      </w:tr>
      <w:tr w:rsidR="00F43F07" w:rsidRPr="00641FF2" w14:paraId="44CF17AA" w14:textId="77777777" w:rsidTr="00F43F07">
        <w:trPr>
          <w:trHeight w:val="264"/>
        </w:trPr>
        <w:tc>
          <w:tcPr>
            <w:tcW w:w="2834" w:type="dxa"/>
            <w:vMerge/>
            <w:noWrap/>
            <w:hideMark/>
          </w:tcPr>
          <w:p w14:paraId="02AFAF2C" w14:textId="18276E11" w:rsidR="00F43F07" w:rsidRPr="00625B2F" w:rsidRDefault="00F43F07" w:rsidP="00625B2F">
            <w:pPr>
              <w:jc w:val="center"/>
              <w:rPr>
                <w:rFonts w:eastAsiaTheme="minorHAnsi"/>
                <w:sz w:val="22"/>
              </w:rPr>
            </w:pPr>
          </w:p>
        </w:tc>
        <w:tc>
          <w:tcPr>
            <w:tcW w:w="990" w:type="dxa"/>
            <w:noWrap/>
            <w:hideMark/>
          </w:tcPr>
          <w:p w14:paraId="28DFCD9A" w14:textId="77777777" w:rsidR="00F43F07" w:rsidRPr="00625B2F" w:rsidRDefault="00F43F07" w:rsidP="00F43F07">
            <w:pPr>
              <w:pStyle w:val="Tablestyle"/>
              <w:keepNext/>
              <w:keepLines/>
              <w:rPr>
                <w:rFonts w:ascii="Times New Roman" w:eastAsiaTheme="minorHAnsi" w:hAnsi="Times New Roman" w:cs="Times New Roman"/>
              </w:rPr>
            </w:pPr>
            <w:r w:rsidRPr="00625B2F">
              <w:rPr>
                <w:rFonts w:ascii="Times New Roman" w:eastAsiaTheme="minorHAnsi" w:hAnsi="Times New Roman" w:cs="Times New Roman"/>
              </w:rPr>
              <w:t xml:space="preserve">Portable </w:t>
            </w:r>
          </w:p>
        </w:tc>
        <w:tc>
          <w:tcPr>
            <w:tcW w:w="991" w:type="dxa"/>
            <w:noWrap/>
            <w:hideMark/>
          </w:tcPr>
          <w:p w14:paraId="2CDF63A4" w14:textId="77777777" w:rsidR="00F43F07" w:rsidRPr="00625B2F" w:rsidRDefault="00F43F07" w:rsidP="00F43F07">
            <w:pPr>
              <w:pStyle w:val="Tablestyle"/>
              <w:keepNext/>
              <w:keepLines/>
              <w:rPr>
                <w:rFonts w:ascii="Times New Roman" w:eastAsiaTheme="minorHAnsi" w:hAnsi="Times New Roman" w:cs="Times New Roman"/>
              </w:rPr>
            </w:pPr>
            <w:r w:rsidRPr="00625B2F">
              <w:rPr>
                <w:rFonts w:ascii="Times New Roman" w:eastAsiaTheme="minorHAnsi" w:hAnsi="Times New Roman" w:cs="Times New Roman"/>
              </w:rPr>
              <w:t>Fixed</w:t>
            </w:r>
          </w:p>
        </w:tc>
        <w:tc>
          <w:tcPr>
            <w:tcW w:w="991" w:type="dxa"/>
            <w:noWrap/>
            <w:hideMark/>
          </w:tcPr>
          <w:p w14:paraId="10FE5B21" w14:textId="77777777" w:rsidR="00F43F07" w:rsidRPr="00625B2F" w:rsidRDefault="00F43F07" w:rsidP="00F43F07">
            <w:pPr>
              <w:pStyle w:val="Tablestyle"/>
              <w:keepNext/>
              <w:keepLines/>
              <w:rPr>
                <w:rFonts w:ascii="Times New Roman" w:eastAsiaTheme="minorHAnsi" w:hAnsi="Times New Roman" w:cs="Times New Roman"/>
              </w:rPr>
            </w:pPr>
            <w:r w:rsidRPr="00625B2F">
              <w:rPr>
                <w:rFonts w:ascii="Times New Roman" w:eastAsiaTheme="minorHAnsi" w:hAnsi="Times New Roman" w:cs="Times New Roman"/>
              </w:rPr>
              <w:t>Storage</w:t>
            </w:r>
          </w:p>
        </w:tc>
        <w:tc>
          <w:tcPr>
            <w:tcW w:w="991" w:type="dxa"/>
            <w:noWrap/>
            <w:hideMark/>
          </w:tcPr>
          <w:p w14:paraId="08FABE95" w14:textId="77777777" w:rsidR="00F43F07" w:rsidRPr="00625B2F" w:rsidRDefault="00F43F07" w:rsidP="00F43F07">
            <w:pPr>
              <w:pStyle w:val="Tablestyle"/>
              <w:keepNext/>
              <w:keepLines/>
              <w:rPr>
                <w:rFonts w:ascii="Times New Roman" w:eastAsiaTheme="minorHAnsi" w:hAnsi="Times New Roman" w:cs="Times New Roman"/>
              </w:rPr>
            </w:pPr>
            <w:r w:rsidRPr="00625B2F">
              <w:rPr>
                <w:rFonts w:ascii="Times New Roman" w:eastAsiaTheme="minorHAnsi" w:hAnsi="Times New Roman" w:cs="Times New Roman"/>
              </w:rPr>
              <w:t>Underfloor</w:t>
            </w:r>
          </w:p>
        </w:tc>
        <w:tc>
          <w:tcPr>
            <w:tcW w:w="991" w:type="dxa"/>
            <w:noWrap/>
            <w:hideMark/>
          </w:tcPr>
          <w:p w14:paraId="166E1972" w14:textId="77777777" w:rsidR="00F43F07" w:rsidRPr="00625B2F" w:rsidRDefault="00F43F07" w:rsidP="00F43F07">
            <w:pPr>
              <w:pStyle w:val="Tablestyle"/>
              <w:keepNext/>
              <w:keepLines/>
              <w:rPr>
                <w:rFonts w:ascii="Times New Roman" w:eastAsiaTheme="minorHAnsi" w:hAnsi="Times New Roman" w:cs="Times New Roman"/>
              </w:rPr>
            </w:pPr>
            <w:r w:rsidRPr="00625B2F">
              <w:rPr>
                <w:rFonts w:ascii="Times New Roman" w:eastAsiaTheme="minorHAnsi" w:hAnsi="Times New Roman" w:cs="Times New Roman"/>
              </w:rPr>
              <w:t>Towel</w:t>
            </w:r>
          </w:p>
        </w:tc>
        <w:tc>
          <w:tcPr>
            <w:tcW w:w="1391" w:type="dxa"/>
            <w:vMerge/>
            <w:noWrap/>
            <w:hideMark/>
          </w:tcPr>
          <w:p w14:paraId="6F63054C" w14:textId="34D8EAE5" w:rsidR="00F43F07" w:rsidRPr="00625B2F" w:rsidRDefault="00F43F07" w:rsidP="00F43F07">
            <w:pPr>
              <w:pStyle w:val="Tablestyle"/>
              <w:keepNext/>
              <w:keepLines/>
              <w:rPr>
                <w:rFonts w:ascii="Times New Roman" w:eastAsiaTheme="minorHAnsi" w:hAnsi="Times New Roman" w:cs="Times New Roman"/>
              </w:rPr>
            </w:pPr>
          </w:p>
        </w:tc>
      </w:tr>
      <w:tr w:rsidR="00F43F07" w:rsidRPr="00641FF2" w14:paraId="2636658C" w14:textId="77777777" w:rsidTr="00F43F07">
        <w:trPr>
          <w:trHeight w:val="529"/>
        </w:trPr>
        <w:tc>
          <w:tcPr>
            <w:tcW w:w="2834" w:type="dxa"/>
            <w:noWrap/>
            <w:hideMark/>
          </w:tcPr>
          <w:p w14:paraId="57CBB3B1" w14:textId="77777777" w:rsidR="00625B2F" w:rsidRPr="00625B2F" w:rsidRDefault="00625B2F" w:rsidP="00625B2F">
            <w:pPr>
              <w:jc w:val="center"/>
              <w:rPr>
                <w:rFonts w:eastAsiaTheme="minorHAnsi"/>
                <w:sz w:val="22"/>
              </w:rPr>
            </w:pPr>
            <w:r w:rsidRPr="00625B2F">
              <w:rPr>
                <w:rFonts w:eastAsiaTheme="minorHAnsi"/>
                <w:sz w:val="22"/>
              </w:rPr>
              <w:t>Single stage heat output. No room temperature control</w:t>
            </w:r>
          </w:p>
        </w:tc>
        <w:tc>
          <w:tcPr>
            <w:tcW w:w="990" w:type="dxa"/>
            <w:noWrap/>
            <w:hideMark/>
          </w:tcPr>
          <w:p w14:paraId="3CB96C76" w14:textId="46A56ACB" w:rsidR="00625B2F" w:rsidRPr="00625B2F" w:rsidRDefault="00625B2F" w:rsidP="00F43F07">
            <w:pPr>
              <w:jc w:val="center"/>
              <w:rPr>
                <w:rFonts w:eastAsiaTheme="minorHAnsi"/>
                <w:sz w:val="22"/>
              </w:rPr>
            </w:pPr>
            <w:r w:rsidRPr="00625B2F">
              <w:rPr>
                <w:rFonts w:eastAsiaTheme="minorHAnsi"/>
                <w:sz w:val="22"/>
              </w:rPr>
              <w:t>0</w:t>
            </w:r>
            <w:r w:rsidR="00F43F07">
              <w:rPr>
                <w:rFonts w:eastAsiaTheme="minorHAnsi"/>
                <w:sz w:val="22"/>
              </w:rPr>
              <w:t>,</w:t>
            </w:r>
            <w:r w:rsidRPr="00625B2F">
              <w:rPr>
                <w:rFonts w:eastAsiaTheme="minorHAnsi"/>
                <w:sz w:val="22"/>
              </w:rPr>
              <w:t>0</w:t>
            </w:r>
            <w:r w:rsidR="00F43F07">
              <w:rPr>
                <w:rFonts w:eastAsiaTheme="minorHAnsi"/>
                <w:sz w:val="22"/>
              </w:rPr>
              <w:t xml:space="preserve"> </w:t>
            </w:r>
            <w:r w:rsidRPr="00625B2F">
              <w:rPr>
                <w:rFonts w:eastAsiaTheme="minorHAnsi"/>
                <w:sz w:val="22"/>
              </w:rPr>
              <w:t>%</w:t>
            </w:r>
          </w:p>
        </w:tc>
        <w:tc>
          <w:tcPr>
            <w:tcW w:w="991" w:type="dxa"/>
            <w:noWrap/>
            <w:hideMark/>
          </w:tcPr>
          <w:p w14:paraId="3082B892" w14:textId="4947B7DE" w:rsidR="00625B2F" w:rsidRPr="00625B2F" w:rsidRDefault="00625B2F" w:rsidP="00F43F07">
            <w:pPr>
              <w:jc w:val="center"/>
              <w:rPr>
                <w:rFonts w:eastAsiaTheme="minorHAnsi"/>
                <w:sz w:val="22"/>
              </w:rPr>
            </w:pPr>
            <w:r w:rsidRPr="00625B2F">
              <w:rPr>
                <w:rFonts w:eastAsiaTheme="minorHAnsi"/>
                <w:sz w:val="22"/>
              </w:rPr>
              <w:t>0</w:t>
            </w:r>
            <w:r w:rsidR="00F43F07">
              <w:rPr>
                <w:rFonts w:eastAsiaTheme="minorHAnsi"/>
                <w:sz w:val="22"/>
              </w:rPr>
              <w:t>,</w:t>
            </w:r>
            <w:r w:rsidRPr="00625B2F">
              <w:rPr>
                <w:rFonts w:eastAsiaTheme="minorHAnsi"/>
                <w:sz w:val="22"/>
              </w:rPr>
              <w:t>0</w:t>
            </w:r>
            <w:r w:rsidR="00F43F07">
              <w:rPr>
                <w:rFonts w:eastAsiaTheme="minorHAnsi"/>
                <w:sz w:val="22"/>
              </w:rPr>
              <w:t xml:space="preserve"> </w:t>
            </w:r>
            <w:r w:rsidRPr="00625B2F">
              <w:rPr>
                <w:rFonts w:eastAsiaTheme="minorHAnsi"/>
                <w:sz w:val="22"/>
              </w:rPr>
              <w:t>%</w:t>
            </w:r>
          </w:p>
        </w:tc>
        <w:tc>
          <w:tcPr>
            <w:tcW w:w="991" w:type="dxa"/>
            <w:noWrap/>
            <w:hideMark/>
          </w:tcPr>
          <w:p w14:paraId="21EF7A61" w14:textId="2474031E" w:rsidR="00625B2F" w:rsidRPr="00625B2F" w:rsidRDefault="00625B2F" w:rsidP="00F43F07">
            <w:pPr>
              <w:jc w:val="center"/>
              <w:rPr>
                <w:rFonts w:eastAsiaTheme="minorHAnsi"/>
                <w:sz w:val="22"/>
              </w:rPr>
            </w:pPr>
            <w:r w:rsidRPr="00625B2F">
              <w:rPr>
                <w:rFonts w:eastAsiaTheme="minorHAnsi"/>
                <w:sz w:val="22"/>
              </w:rPr>
              <w:t>0</w:t>
            </w:r>
            <w:r w:rsidR="00F43F07">
              <w:rPr>
                <w:rFonts w:eastAsiaTheme="minorHAnsi"/>
                <w:sz w:val="22"/>
              </w:rPr>
              <w:t>,</w:t>
            </w:r>
            <w:r w:rsidRPr="00625B2F">
              <w:rPr>
                <w:rFonts w:eastAsiaTheme="minorHAnsi"/>
                <w:sz w:val="22"/>
              </w:rPr>
              <w:t>0</w:t>
            </w:r>
            <w:r w:rsidR="00F43F07">
              <w:rPr>
                <w:rFonts w:eastAsiaTheme="minorHAnsi"/>
                <w:sz w:val="22"/>
              </w:rPr>
              <w:t xml:space="preserve"> </w:t>
            </w:r>
            <w:r w:rsidRPr="00625B2F">
              <w:rPr>
                <w:rFonts w:eastAsiaTheme="minorHAnsi"/>
                <w:sz w:val="22"/>
              </w:rPr>
              <w:t>%</w:t>
            </w:r>
          </w:p>
        </w:tc>
        <w:tc>
          <w:tcPr>
            <w:tcW w:w="991" w:type="dxa"/>
            <w:noWrap/>
            <w:hideMark/>
          </w:tcPr>
          <w:p w14:paraId="7B369DB2" w14:textId="4C062DE8" w:rsidR="00625B2F" w:rsidRPr="00625B2F" w:rsidRDefault="00625B2F" w:rsidP="00F43F07">
            <w:pPr>
              <w:jc w:val="center"/>
              <w:rPr>
                <w:rFonts w:eastAsiaTheme="minorHAnsi"/>
                <w:sz w:val="22"/>
              </w:rPr>
            </w:pPr>
            <w:r w:rsidRPr="00625B2F">
              <w:rPr>
                <w:rFonts w:eastAsiaTheme="minorHAnsi"/>
                <w:sz w:val="22"/>
              </w:rPr>
              <w:t>0</w:t>
            </w:r>
            <w:r w:rsidR="00F43F07">
              <w:rPr>
                <w:rFonts w:eastAsiaTheme="minorHAnsi"/>
                <w:sz w:val="22"/>
              </w:rPr>
              <w:t>,</w:t>
            </w:r>
            <w:r w:rsidRPr="00625B2F">
              <w:rPr>
                <w:rFonts w:eastAsiaTheme="minorHAnsi"/>
                <w:sz w:val="22"/>
              </w:rPr>
              <w:t>0</w:t>
            </w:r>
            <w:r w:rsidR="00F43F07">
              <w:rPr>
                <w:rFonts w:eastAsiaTheme="minorHAnsi"/>
                <w:sz w:val="22"/>
              </w:rPr>
              <w:t xml:space="preserve"> </w:t>
            </w:r>
            <w:r w:rsidRPr="00625B2F">
              <w:rPr>
                <w:rFonts w:eastAsiaTheme="minorHAnsi"/>
                <w:sz w:val="22"/>
              </w:rPr>
              <w:t>%</w:t>
            </w:r>
          </w:p>
        </w:tc>
        <w:tc>
          <w:tcPr>
            <w:tcW w:w="991" w:type="dxa"/>
            <w:noWrap/>
            <w:hideMark/>
          </w:tcPr>
          <w:p w14:paraId="794CBA49" w14:textId="05261F74" w:rsidR="00625B2F" w:rsidRPr="00625B2F" w:rsidRDefault="00625B2F" w:rsidP="00625B2F">
            <w:pPr>
              <w:jc w:val="center"/>
              <w:rPr>
                <w:rFonts w:eastAsiaTheme="minorHAnsi"/>
                <w:sz w:val="22"/>
              </w:rPr>
            </w:pPr>
            <w:r w:rsidRPr="00625B2F">
              <w:rPr>
                <w:rFonts w:eastAsiaTheme="minorHAnsi"/>
                <w:sz w:val="22"/>
              </w:rPr>
              <w:t>0</w:t>
            </w:r>
            <w:r w:rsidR="00F43F07">
              <w:rPr>
                <w:rFonts w:eastAsiaTheme="minorHAnsi"/>
                <w:sz w:val="22"/>
              </w:rPr>
              <w:t xml:space="preserve">,0 </w:t>
            </w:r>
            <w:r w:rsidRPr="00625B2F">
              <w:rPr>
                <w:rFonts w:eastAsiaTheme="minorHAnsi"/>
                <w:sz w:val="22"/>
              </w:rPr>
              <w:t>%</w:t>
            </w:r>
          </w:p>
        </w:tc>
        <w:tc>
          <w:tcPr>
            <w:tcW w:w="1391" w:type="dxa"/>
            <w:noWrap/>
            <w:hideMark/>
          </w:tcPr>
          <w:p w14:paraId="0F936FD8" w14:textId="30F666E5" w:rsidR="00625B2F" w:rsidRPr="00625B2F" w:rsidRDefault="00625B2F" w:rsidP="00F43F07">
            <w:pPr>
              <w:jc w:val="center"/>
              <w:rPr>
                <w:rFonts w:eastAsiaTheme="minorHAnsi"/>
                <w:sz w:val="22"/>
              </w:rPr>
            </w:pPr>
            <w:r w:rsidRPr="00625B2F">
              <w:rPr>
                <w:rFonts w:eastAsiaTheme="minorHAnsi"/>
                <w:sz w:val="22"/>
              </w:rPr>
              <w:t>0</w:t>
            </w:r>
            <w:r w:rsidR="00F43F07">
              <w:rPr>
                <w:rFonts w:eastAsiaTheme="minorHAnsi"/>
                <w:sz w:val="22"/>
              </w:rPr>
              <w:t>,</w:t>
            </w:r>
            <w:r w:rsidRPr="00625B2F">
              <w:rPr>
                <w:rFonts w:eastAsiaTheme="minorHAnsi"/>
                <w:sz w:val="22"/>
              </w:rPr>
              <w:t>0</w:t>
            </w:r>
            <w:r w:rsidR="00F43F07">
              <w:rPr>
                <w:rFonts w:eastAsiaTheme="minorHAnsi"/>
                <w:sz w:val="22"/>
              </w:rPr>
              <w:t xml:space="preserve"> </w:t>
            </w:r>
            <w:r w:rsidRPr="00625B2F">
              <w:rPr>
                <w:rFonts w:eastAsiaTheme="minorHAnsi"/>
                <w:sz w:val="22"/>
              </w:rPr>
              <w:t>%</w:t>
            </w:r>
          </w:p>
        </w:tc>
      </w:tr>
      <w:tr w:rsidR="00F43F07" w:rsidRPr="00641FF2" w14:paraId="0475AA78" w14:textId="77777777" w:rsidTr="00F43F07">
        <w:trPr>
          <w:trHeight w:val="529"/>
        </w:trPr>
        <w:tc>
          <w:tcPr>
            <w:tcW w:w="2834" w:type="dxa"/>
            <w:noWrap/>
            <w:hideMark/>
          </w:tcPr>
          <w:p w14:paraId="0FE2688E" w14:textId="77777777" w:rsidR="00625B2F" w:rsidRPr="00625B2F" w:rsidRDefault="00625B2F" w:rsidP="00625B2F">
            <w:pPr>
              <w:jc w:val="center"/>
              <w:rPr>
                <w:rFonts w:eastAsiaTheme="minorHAnsi"/>
                <w:sz w:val="22"/>
              </w:rPr>
            </w:pPr>
            <w:r w:rsidRPr="00625B2F">
              <w:rPr>
                <w:rFonts w:eastAsiaTheme="minorHAnsi"/>
                <w:sz w:val="22"/>
              </w:rPr>
              <w:t>Two or more manual stages. No temperature control</w:t>
            </w:r>
          </w:p>
        </w:tc>
        <w:tc>
          <w:tcPr>
            <w:tcW w:w="990" w:type="dxa"/>
            <w:noWrap/>
            <w:hideMark/>
          </w:tcPr>
          <w:p w14:paraId="7BD1C801" w14:textId="6EED858C" w:rsidR="00625B2F" w:rsidRPr="00625B2F" w:rsidRDefault="00625B2F" w:rsidP="00F43F07">
            <w:pPr>
              <w:jc w:val="center"/>
              <w:rPr>
                <w:rFonts w:eastAsiaTheme="minorHAnsi"/>
                <w:sz w:val="22"/>
              </w:rPr>
            </w:pPr>
            <w:r w:rsidRPr="00625B2F">
              <w:rPr>
                <w:rFonts w:eastAsiaTheme="minorHAnsi"/>
                <w:sz w:val="22"/>
              </w:rPr>
              <w:t>1</w:t>
            </w:r>
            <w:r w:rsidR="00F43F07">
              <w:rPr>
                <w:rFonts w:eastAsiaTheme="minorHAnsi"/>
                <w:sz w:val="22"/>
              </w:rPr>
              <w:t>,</w:t>
            </w:r>
            <w:r w:rsidRPr="00625B2F">
              <w:rPr>
                <w:rFonts w:eastAsiaTheme="minorHAnsi"/>
                <w:sz w:val="22"/>
              </w:rPr>
              <w:t>0</w:t>
            </w:r>
            <w:r w:rsidR="00F43F07">
              <w:rPr>
                <w:rFonts w:eastAsiaTheme="minorHAnsi"/>
                <w:sz w:val="22"/>
              </w:rPr>
              <w:t xml:space="preserve"> </w:t>
            </w:r>
            <w:r w:rsidRPr="00625B2F">
              <w:rPr>
                <w:rFonts w:eastAsiaTheme="minorHAnsi"/>
                <w:sz w:val="22"/>
              </w:rPr>
              <w:t>%</w:t>
            </w:r>
          </w:p>
        </w:tc>
        <w:tc>
          <w:tcPr>
            <w:tcW w:w="991" w:type="dxa"/>
            <w:noWrap/>
            <w:hideMark/>
          </w:tcPr>
          <w:p w14:paraId="39F2C5F3" w14:textId="479C3000" w:rsidR="00625B2F" w:rsidRPr="00625B2F" w:rsidRDefault="00625B2F" w:rsidP="00F43F07">
            <w:pPr>
              <w:jc w:val="center"/>
              <w:rPr>
                <w:rFonts w:eastAsiaTheme="minorHAnsi"/>
                <w:sz w:val="22"/>
              </w:rPr>
            </w:pPr>
            <w:r w:rsidRPr="00625B2F">
              <w:rPr>
                <w:rFonts w:eastAsiaTheme="minorHAnsi"/>
                <w:sz w:val="22"/>
              </w:rPr>
              <w:t>0</w:t>
            </w:r>
            <w:r w:rsidR="00F43F07">
              <w:rPr>
                <w:rFonts w:eastAsiaTheme="minorHAnsi"/>
                <w:sz w:val="22"/>
              </w:rPr>
              <w:t>,</w:t>
            </w:r>
            <w:r w:rsidRPr="00625B2F">
              <w:rPr>
                <w:rFonts w:eastAsiaTheme="minorHAnsi"/>
                <w:sz w:val="22"/>
              </w:rPr>
              <w:t>0</w:t>
            </w:r>
            <w:r w:rsidR="00F43F07">
              <w:rPr>
                <w:rFonts w:eastAsiaTheme="minorHAnsi"/>
                <w:sz w:val="22"/>
              </w:rPr>
              <w:t xml:space="preserve"> </w:t>
            </w:r>
            <w:r w:rsidRPr="00625B2F">
              <w:rPr>
                <w:rFonts w:eastAsiaTheme="minorHAnsi"/>
                <w:sz w:val="22"/>
              </w:rPr>
              <w:t>%</w:t>
            </w:r>
          </w:p>
        </w:tc>
        <w:tc>
          <w:tcPr>
            <w:tcW w:w="991" w:type="dxa"/>
            <w:noWrap/>
            <w:hideMark/>
          </w:tcPr>
          <w:p w14:paraId="31A0D139" w14:textId="6FE74CFD" w:rsidR="00625B2F" w:rsidRPr="00625B2F" w:rsidRDefault="00625B2F" w:rsidP="00F43F07">
            <w:pPr>
              <w:jc w:val="center"/>
              <w:rPr>
                <w:rFonts w:eastAsiaTheme="minorHAnsi"/>
                <w:sz w:val="22"/>
              </w:rPr>
            </w:pPr>
            <w:r w:rsidRPr="00625B2F">
              <w:rPr>
                <w:rFonts w:eastAsiaTheme="minorHAnsi"/>
                <w:sz w:val="22"/>
              </w:rPr>
              <w:t>0</w:t>
            </w:r>
            <w:r w:rsidR="00F43F07">
              <w:rPr>
                <w:rFonts w:eastAsiaTheme="minorHAnsi"/>
                <w:sz w:val="22"/>
              </w:rPr>
              <w:t>,</w:t>
            </w:r>
            <w:r w:rsidRPr="00625B2F">
              <w:rPr>
                <w:rFonts w:eastAsiaTheme="minorHAnsi"/>
                <w:sz w:val="22"/>
              </w:rPr>
              <w:t>0</w:t>
            </w:r>
            <w:r w:rsidR="00F43F07">
              <w:rPr>
                <w:rFonts w:eastAsiaTheme="minorHAnsi"/>
                <w:sz w:val="22"/>
              </w:rPr>
              <w:t xml:space="preserve"> </w:t>
            </w:r>
            <w:r w:rsidRPr="00625B2F">
              <w:rPr>
                <w:rFonts w:eastAsiaTheme="minorHAnsi"/>
                <w:sz w:val="22"/>
              </w:rPr>
              <w:t>%</w:t>
            </w:r>
          </w:p>
        </w:tc>
        <w:tc>
          <w:tcPr>
            <w:tcW w:w="991" w:type="dxa"/>
            <w:noWrap/>
            <w:hideMark/>
          </w:tcPr>
          <w:p w14:paraId="0187384D" w14:textId="6B527BA3" w:rsidR="00625B2F" w:rsidRPr="00625B2F" w:rsidRDefault="00625B2F" w:rsidP="00F43F07">
            <w:pPr>
              <w:jc w:val="center"/>
              <w:rPr>
                <w:rFonts w:eastAsiaTheme="minorHAnsi"/>
                <w:sz w:val="22"/>
              </w:rPr>
            </w:pPr>
            <w:r w:rsidRPr="00625B2F">
              <w:rPr>
                <w:rFonts w:eastAsiaTheme="minorHAnsi"/>
                <w:sz w:val="22"/>
              </w:rPr>
              <w:t>0</w:t>
            </w:r>
            <w:r w:rsidR="00F43F07">
              <w:rPr>
                <w:rFonts w:eastAsiaTheme="minorHAnsi"/>
                <w:sz w:val="22"/>
              </w:rPr>
              <w:t>,</w:t>
            </w:r>
            <w:r w:rsidRPr="00625B2F">
              <w:rPr>
                <w:rFonts w:eastAsiaTheme="minorHAnsi"/>
                <w:sz w:val="22"/>
              </w:rPr>
              <w:t>0</w:t>
            </w:r>
            <w:r w:rsidR="00F43F07">
              <w:rPr>
                <w:rFonts w:eastAsiaTheme="minorHAnsi"/>
                <w:sz w:val="22"/>
              </w:rPr>
              <w:t xml:space="preserve"> </w:t>
            </w:r>
            <w:r w:rsidRPr="00625B2F">
              <w:rPr>
                <w:rFonts w:eastAsiaTheme="minorHAnsi"/>
                <w:sz w:val="22"/>
              </w:rPr>
              <w:t>%</w:t>
            </w:r>
          </w:p>
        </w:tc>
        <w:tc>
          <w:tcPr>
            <w:tcW w:w="991" w:type="dxa"/>
            <w:noWrap/>
            <w:hideMark/>
          </w:tcPr>
          <w:p w14:paraId="3B87851D" w14:textId="6D7E63F6" w:rsidR="00625B2F" w:rsidRPr="00625B2F" w:rsidRDefault="00625B2F" w:rsidP="00625B2F">
            <w:pPr>
              <w:jc w:val="center"/>
              <w:rPr>
                <w:rFonts w:eastAsiaTheme="minorHAnsi"/>
                <w:sz w:val="22"/>
              </w:rPr>
            </w:pPr>
            <w:r w:rsidRPr="00625B2F">
              <w:rPr>
                <w:rFonts w:eastAsiaTheme="minorHAnsi"/>
                <w:sz w:val="22"/>
              </w:rPr>
              <w:t>2</w:t>
            </w:r>
            <w:r w:rsidR="00F43F07">
              <w:rPr>
                <w:rFonts w:eastAsiaTheme="minorHAnsi"/>
                <w:sz w:val="22"/>
              </w:rPr>
              <w:t xml:space="preserve">,0 </w:t>
            </w:r>
            <w:r w:rsidRPr="00625B2F">
              <w:rPr>
                <w:rFonts w:eastAsiaTheme="minorHAnsi"/>
                <w:sz w:val="22"/>
              </w:rPr>
              <w:t>%</w:t>
            </w:r>
          </w:p>
        </w:tc>
        <w:tc>
          <w:tcPr>
            <w:tcW w:w="1391" w:type="dxa"/>
            <w:noWrap/>
            <w:hideMark/>
          </w:tcPr>
          <w:p w14:paraId="590A8AA4" w14:textId="0BEAC70C" w:rsidR="00625B2F" w:rsidRPr="00625B2F" w:rsidRDefault="00625B2F" w:rsidP="00F43F07">
            <w:pPr>
              <w:jc w:val="center"/>
              <w:rPr>
                <w:rFonts w:eastAsiaTheme="minorHAnsi"/>
                <w:sz w:val="22"/>
              </w:rPr>
            </w:pPr>
            <w:r w:rsidRPr="00625B2F">
              <w:rPr>
                <w:rFonts w:eastAsiaTheme="minorHAnsi"/>
                <w:sz w:val="22"/>
              </w:rPr>
              <w:t>1</w:t>
            </w:r>
            <w:r w:rsidR="00F43F07">
              <w:rPr>
                <w:rFonts w:eastAsiaTheme="minorHAnsi"/>
                <w:sz w:val="22"/>
              </w:rPr>
              <w:t>,</w:t>
            </w:r>
            <w:r w:rsidRPr="00625B2F">
              <w:rPr>
                <w:rFonts w:eastAsiaTheme="minorHAnsi"/>
                <w:sz w:val="22"/>
              </w:rPr>
              <w:t>0</w:t>
            </w:r>
            <w:r w:rsidR="00F43F07">
              <w:rPr>
                <w:rFonts w:eastAsiaTheme="minorHAnsi"/>
                <w:sz w:val="22"/>
              </w:rPr>
              <w:t xml:space="preserve"> </w:t>
            </w:r>
            <w:r w:rsidRPr="00625B2F">
              <w:rPr>
                <w:rFonts w:eastAsiaTheme="minorHAnsi"/>
                <w:sz w:val="22"/>
              </w:rPr>
              <w:t>%</w:t>
            </w:r>
          </w:p>
        </w:tc>
      </w:tr>
      <w:tr w:rsidR="00F43F07" w:rsidRPr="00641FF2" w14:paraId="192F4BD0" w14:textId="77777777" w:rsidTr="00F43F07">
        <w:trPr>
          <w:trHeight w:val="529"/>
        </w:trPr>
        <w:tc>
          <w:tcPr>
            <w:tcW w:w="2834" w:type="dxa"/>
            <w:noWrap/>
            <w:hideMark/>
          </w:tcPr>
          <w:p w14:paraId="31197EDC" w14:textId="77777777" w:rsidR="00625B2F" w:rsidRPr="00625B2F" w:rsidRDefault="00625B2F" w:rsidP="00625B2F">
            <w:pPr>
              <w:jc w:val="center"/>
              <w:rPr>
                <w:rFonts w:eastAsiaTheme="minorHAnsi"/>
                <w:sz w:val="22"/>
              </w:rPr>
            </w:pPr>
            <w:r w:rsidRPr="00625B2F">
              <w:rPr>
                <w:rFonts w:eastAsiaTheme="minorHAnsi"/>
                <w:sz w:val="22"/>
              </w:rPr>
              <w:t>With mechanic thermostat room temperature control</w:t>
            </w:r>
          </w:p>
        </w:tc>
        <w:tc>
          <w:tcPr>
            <w:tcW w:w="990" w:type="dxa"/>
            <w:noWrap/>
            <w:hideMark/>
          </w:tcPr>
          <w:p w14:paraId="3A24796A" w14:textId="4A52DCC1" w:rsidR="00625B2F" w:rsidRPr="00625B2F" w:rsidRDefault="00625B2F" w:rsidP="00F43F07">
            <w:pPr>
              <w:jc w:val="center"/>
              <w:rPr>
                <w:rFonts w:eastAsiaTheme="minorHAnsi"/>
                <w:sz w:val="22"/>
              </w:rPr>
            </w:pPr>
            <w:r w:rsidRPr="00625B2F">
              <w:rPr>
                <w:rFonts w:eastAsiaTheme="minorHAnsi"/>
                <w:sz w:val="22"/>
              </w:rPr>
              <w:t>6</w:t>
            </w:r>
            <w:r w:rsidR="00F43F07">
              <w:rPr>
                <w:rFonts w:eastAsiaTheme="minorHAnsi"/>
                <w:sz w:val="22"/>
              </w:rPr>
              <w:t>,</w:t>
            </w:r>
            <w:r w:rsidRPr="00625B2F">
              <w:rPr>
                <w:rFonts w:eastAsiaTheme="minorHAnsi"/>
                <w:sz w:val="22"/>
              </w:rPr>
              <w:t>0</w:t>
            </w:r>
            <w:r w:rsidR="00F43F07">
              <w:rPr>
                <w:rFonts w:eastAsiaTheme="minorHAnsi"/>
                <w:sz w:val="22"/>
              </w:rPr>
              <w:t xml:space="preserve"> </w:t>
            </w:r>
            <w:r w:rsidRPr="00625B2F">
              <w:rPr>
                <w:rFonts w:eastAsiaTheme="minorHAnsi"/>
                <w:sz w:val="22"/>
              </w:rPr>
              <w:t>%</w:t>
            </w:r>
          </w:p>
        </w:tc>
        <w:tc>
          <w:tcPr>
            <w:tcW w:w="991" w:type="dxa"/>
            <w:noWrap/>
            <w:hideMark/>
          </w:tcPr>
          <w:p w14:paraId="2452B9E4" w14:textId="3F75BA08" w:rsidR="00625B2F" w:rsidRPr="00625B2F" w:rsidRDefault="00625B2F" w:rsidP="00F43F07">
            <w:pPr>
              <w:jc w:val="center"/>
              <w:rPr>
                <w:rFonts w:eastAsiaTheme="minorHAnsi"/>
                <w:sz w:val="22"/>
              </w:rPr>
            </w:pPr>
            <w:r w:rsidRPr="00625B2F">
              <w:rPr>
                <w:rFonts w:eastAsiaTheme="minorHAnsi"/>
                <w:sz w:val="22"/>
              </w:rPr>
              <w:t>1</w:t>
            </w:r>
            <w:r w:rsidR="00F43F07">
              <w:rPr>
                <w:rFonts w:eastAsiaTheme="minorHAnsi"/>
                <w:sz w:val="22"/>
              </w:rPr>
              <w:t>,</w:t>
            </w:r>
            <w:r w:rsidRPr="00625B2F">
              <w:rPr>
                <w:rFonts w:eastAsiaTheme="minorHAnsi"/>
                <w:sz w:val="22"/>
              </w:rPr>
              <w:t>0</w:t>
            </w:r>
            <w:r w:rsidR="00F43F07">
              <w:rPr>
                <w:rFonts w:eastAsiaTheme="minorHAnsi"/>
                <w:sz w:val="22"/>
              </w:rPr>
              <w:t xml:space="preserve"> </w:t>
            </w:r>
            <w:r w:rsidRPr="00625B2F">
              <w:rPr>
                <w:rFonts w:eastAsiaTheme="minorHAnsi"/>
                <w:sz w:val="22"/>
              </w:rPr>
              <w:t>%</w:t>
            </w:r>
          </w:p>
        </w:tc>
        <w:tc>
          <w:tcPr>
            <w:tcW w:w="991" w:type="dxa"/>
            <w:noWrap/>
            <w:hideMark/>
          </w:tcPr>
          <w:p w14:paraId="14B22644" w14:textId="25494D0C" w:rsidR="00625B2F" w:rsidRPr="00625B2F" w:rsidRDefault="00625B2F" w:rsidP="00F43F07">
            <w:pPr>
              <w:jc w:val="center"/>
              <w:rPr>
                <w:rFonts w:eastAsiaTheme="minorHAnsi"/>
                <w:sz w:val="22"/>
              </w:rPr>
            </w:pPr>
            <w:r w:rsidRPr="00625B2F">
              <w:rPr>
                <w:rFonts w:eastAsiaTheme="minorHAnsi"/>
                <w:sz w:val="22"/>
              </w:rPr>
              <w:t>0</w:t>
            </w:r>
            <w:r w:rsidR="00F43F07">
              <w:rPr>
                <w:rFonts w:eastAsiaTheme="minorHAnsi"/>
                <w:sz w:val="22"/>
              </w:rPr>
              <w:t>,</w:t>
            </w:r>
            <w:r w:rsidRPr="00625B2F">
              <w:rPr>
                <w:rFonts w:eastAsiaTheme="minorHAnsi"/>
                <w:sz w:val="22"/>
              </w:rPr>
              <w:t>5</w:t>
            </w:r>
            <w:r w:rsidR="00F43F07">
              <w:rPr>
                <w:rFonts w:eastAsiaTheme="minorHAnsi"/>
                <w:sz w:val="22"/>
              </w:rPr>
              <w:t xml:space="preserve"> </w:t>
            </w:r>
            <w:r w:rsidRPr="00625B2F">
              <w:rPr>
                <w:rFonts w:eastAsiaTheme="minorHAnsi"/>
                <w:sz w:val="22"/>
              </w:rPr>
              <w:t>%</w:t>
            </w:r>
          </w:p>
        </w:tc>
        <w:tc>
          <w:tcPr>
            <w:tcW w:w="991" w:type="dxa"/>
            <w:noWrap/>
            <w:hideMark/>
          </w:tcPr>
          <w:p w14:paraId="1172A84B" w14:textId="4A379CE0" w:rsidR="00625B2F" w:rsidRPr="00625B2F" w:rsidRDefault="00625B2F" w:rsidP="00F43F07">
            <w:pPr>
              <w:jc w:val="center"/>
              <w:rPr>
                <w:rFonts w:eastAsiaTheme="minorHAnsi"/>
                <w:sz w:val="22"/>
              </w:rPr>
            </w:pPr>
            <w:r w:rsidRPr="00625B2F">
              <w:rPr>
                <w:rFonts w:eastAsiaTheme="minorHAnsi"/>
                <w:sz w:val="22"/>
              </w:rPr>
              <w:t>1</w:t>
            </w:r>
            <w:r w:rsidR="00F43F07">
              <w:rPr>
                <w:rFonts w:eastAsiaTheme="minorHAnsi"/>
                <w:sz w:val="22"/>
              </w:rPr>
              <w:t>,</w:t>
            </w:r>
            <w:r w:rsidRPr="00625B2F">
              <w:rPr>
                <w:rFonts w:eastAsiaTheme="minorHAnsi"/>
                <w:sz w:val="22"/>
              </w:rPr>
              <w:t>0</w:t>
            </w:r>
            <w:r w:rsidR="00F43F07">
              <w:rPr>
                <w:rFonts w:eastAsiaTheme="minorHAnsi"/>
                <w:sz w:val="22"/>
              </w:rPr>
              <w:t xml:space="preserve"> </w:t>
            </w:r>
            <w:r w:rsidRPr="00625B2F">
              <w:rPr>
                <w:rFonts w:eastAsiaTheme="minorHAnsi"/>
                <w:sz w:val="22"/>
              </w:rPr>
              <w:t>%</w:t>
            </w:r>
          </w:p>
        </w:tc>
        <w:tc>
          <w:tcPr>
            <w:tcW w:w="991" w:type="dxa"/>
            <w:noWrap/>
            <w:hideMark/>
          </w:tcPr>
          <w:p w14:paraId="76AEF173" w14:textId="37F6F8B4" w:rsidR="00625B2F" w:rsidRPr="00625B2F" w:rsidRDefault="00625B2F" w:rsidP="00625B2F">
            <w:pPr>
              <w:jc w:val="center"/>
              <w:rPr>
                <w:rFonts w:eastAsiaTheme="minorHAnsi"/>
                <w:sz w:val="22"/>
              </w:rPr>
            </w:pPr>
            <w:r w:rsidRPr="00625B2F">
              <w:rPr>
                <w:rFonts w:eastAsiaTheme="minorHAnsi"/>
                <w:sz w:val="22"/>
              </w:rPr>
              <w:t>2</w:t>
            </w:r>
            <w:r w:rsidR="00F43F07">
              <w:rPr>
                <w:rFonts w:eastAsiaTheme="minorHAnsi"/>
                <w:sz w:val="22"/>
              </w:rPr>
              <w:t xml:space="preserve">,0 </w:t>
            </w:r>
            <w:r w:rsidRPr="00625B2F">
              <w:rPr>
                <w:rFonts w:eastAsiaTheme="minorHAnsi"/>
                <w:sz w:val="22"/>
              </w:rPr>
              <w:t>%</w:t>
            </w:r>
          </w:p>
        </w:tc>
        <w:tc>
          <w:tcPr>
            <w:tcW w:w="1391" w:type="dxa"/>
            <w:noWrap/>
            <w:hideMark/>
          </w:tcPr>
          <w:p w14:paraId="3071CF6D" w14:textId="5DEAF737" w:rsidR="00625B2F" w:rsidRPr="00625B2F" w:rsidRDefault="00625B2F" w:rsidP="00F43F07">
            <w:pPr>
              <w:jc w:val="center"/>
              <w:rPr>
                <w:rFonts w:eastAsiaTheme="minorHAnsi"/>
                <w:sz w:val="22"/>
              </w:rPr>
            </w:pPr>
            <w:r w:rsidRPr="00625B2F">
              <w:rPr>
                <w:rFonts w:eastAsiaTheme="minorHAnsi"/>
                <w:sz w:val="22"/>
              </w:rPr>
              <w:t>2</w:t>
            </w:r>
            <w:r w:rsidR="00F43F07">
              <w:rPr>
                <w:rFonts w:eastAsiaTheme="minorHAnsi"/>
                <w:sz w:val="22"/>
              </w:rPr>
              <w:t>,</w:t>
            </w:r>
            <w:r w:rsidRPr="00625B2F">
              <w:rPr>
                <w:rFonts w:eastAsiaTheme="minorHAnsi"/>
                <w:sz w:val="22"/>
              </w:rPr>
              <w:t>0</w:t>
            </w:r>
            <w:r w:rsidR="00F43F07">
              <w:rPr>
                <w:rFonts w:eastAsiaTheme="minorHAnsi"/>
                <w:sz w:val="22"/>
              </w:rPr>
              <w:t xml:space="preserve"> </w:t>
            </w:r>
            <w:r w:rsidRPr="00625B2F">
              <w:rPr>
                <w:rFonts w:eastAsiaTheme="minorHAnsi"/>
                <w:sz w:val="22"/>
              </w:rPr>
              <w:t>%</w:t>
            </w:r>
          </w:p>
        </w:tc>
      </w:tr>
      <w:tr w:rsidR="00F43F07" w:rsidRPr="00641FF2" w14:paraId="4B3F15EB" w14:textId="77777777" w:rsidTr="00F43F07">
        <w:trPr>
          <w:trHeight w:val="529"/>
        </w:trPr>
        <w:tc>
          <w:tcPr>
            <w:tcW w:w="2834" w:type="dxa"/>
            <w:noWrap/>
            <w:hideMark/>
          </w:tcPr>
          <w:p w14:paraId="467C1B6A" w14:textId="77777777" w:rsidR="00625B2F" w:rsidRPr="00625B2F" w:rsidRDefault="00625B2F" w:rsidP="00625B2F">
            <w:pPr>
              <w:jc w:val="center"/>
              <w:rPr>
                <w:rFonts w:eastAsiaTheme="minorHAnsi"/>
                <w:sz w:val="22"/>
              </w:rPr>
            </w:pPr>
            <w:r w:rsidRPr="00625B2F">
              <w:rPr>
                <w:rFonts w:eastAsiaTheme="minorHAnsi"/>
                <w:sz w:val="22"/>
              </w:rPr>
              <w:t xml:space="preserve">With electronic room temperature control </w:t>
            </w:r>
          </w:p>
        </w:tc>
        <w:tc>
          <w:tcPr>
            <w:tcW w:w="990" w:type="dxa"/>
            <w:noWrap/>
            <w:hideMark/>
          </w:tcPr>
          <w:p w14:paraId="22349BD5" w14:textId="47FF2498" w:rsidR="00625B2F" w:rsidRPr="00625B2F" w:rsidRDefault="00625B2F" w:rsidP="00F43F07">
            <w:pPr>
              <w:jc w:val="center"/>
              <w:rPr>
                <w:rFonts w:eastAsiaTheme="minorHAnsi"/>
                <w:sz w:val="22"/>
              </w:rPr>
            </w:pPr>
            <w:r w:rsidRPr="00625B2F">
              <w:rPr>
                <w:rFonts w:eastAsiaTheme="minorHAnsi"/>
                <w:sz w:val="22"/>
              </w:rPr>
              <w:t>7</w:t>
            </w:r>
            <w:r w:rsidR="00F43F07">
              <w:rPr>
                <w:rFonts w:eastAsiaTheme="minorHAnsi"/>
                <w:sz w:val="22"/>
              </w:rPr>
              <w:t>,</w:t>
            </w:r>
            <w:r w:rsidRPr="00625B2F">
              <w:rPr>
                <w:rFonts w:eastAsiaTheme="minorHAnsi"/>
                <w:sz w:val="22"/>
              </w:rPr>
              <w:t>0</w:t>
            </w:r>
            <w:r w:rsidR="00F43F07">
              <w:rPr>
                <w:rFonts w:eastAsiaTheme="minorHAnsi"/>
                <w:sz w:val="22"/>
              </w:rPr>
              <w:t xml:space="preserve"> </w:t>
            </w:r>
            <w:r w:rsidRPr="00625B2F">
              <w:rPr>
                <w:rFonts w:eastAsiaTheme="minorHAnsi"/>
                <w:sz w:val="22"/>
              </w:rPr>
              <w:t>%</w:t>
            </w:r>
          </w:p>
        </w:tc>
        <w:tc>
          <w:tcPr>
            <w:tcW w:w="991" w:type="dxa"/>
            <w:noWrap/>
            <w:hideMark/>
          </w:tcPr>
          <w:p w14:paraId="574B0A8D" w14:textId="0A010760" w:rsidR="00625B2F" w:rsidRPr="00625B2F" w:rsidRDefault="00625B2F" w:rsidP="00F43F07">
            <w:pPr>
              <w:jc w:val="center"/>
              <w:rPr>
                <w:rFonts w:eastAsiaTheme="minorHAnsi"/>
                <w:sz w:val="22"/>
              </w:rPr>
            </w:pPr>
            <w:r w:rsidRPr="00625B2F">
              <w:rPr>
                <w:rFonts w:eastAsiaTheme="minorHAnsi"/>
                <w:sz w:val="22"/>
              </w:rPr>
              <w:t>3</w:t>
            </w:r>
            <w:r w:rsidR="00F43F07">
              <w:rPr>
                <w:rFonts w:eastAsiaTheme="minorHAnsi"/>
                <w:sz w:val="22"/>
              </w:rPr>
              <w:t>,</w:t>
            </w:r>
            <w:r w:rsidRPr="00625B2F">
              <w:rPr>
                <w:rFonts w:eastAsiaTheme="minorHAnsi"/>
                <w:sz w:val="22"/>
              </w:rPr>
              <w:t>0</w:t>
            </w:r>
            <w:r w:rsidR="00F43F07">
              <w:rPr>
                <w:rFonts w:eastAsiaTheme="minorHAnsi"/>
                <w:sz w:val="22"/>
              </w:rPr>
              <w:t xml:space="preserve"> </w:t>
            </w:r>
            <w:r w:rsidRPr="00625B2F">
              <w:rPr>
                <w:rFonts w:eastAsiaTheme="minorHAnsi"/>
                <w:sz w:val="22"/>
              </w:rPr>
              <w:t>%</w:t>
            </w:r>
          </w:p>
        </w:tc>
        <w:tc>
          <w:tcPr>
            <w:tcW w:w="991" w:type="dxa"/>
            <w:noWrap/>
            <w:hideMark/>
          </w:tcPr>
          <w:p w14:paraId="74E0AAB2" w14:textId="15E16AE4" w:rsidR="00625B2F" w:rsidRPr="00625B2F" w:rsidRDefault="00625B2F" w:rsidP="00F43F07">
            <w:pPr>
              <w:jc w:val="center"/>
              <w:rPr>
                <w:rFonts w:eastAsiaTheme="minorHAnsi"/>
                <w:sz w:val="22"/>
              </w:rPr>
            </w:pPr>
            <w:r w:rsidRPr="00625B2F">
              <w:rPr>
                <w:rFonts w:eastAsiaTheme="minorHAnsi"/>
                <w:sz w:val="22"/>
              </w:rPr>
              <w:t>1</w:t>
            </w:r>
            <w:r w:rsidR="00F43F07">
              <w:rPr>
                <w:rFonts w:eastAsiaTheme="minorHAnsi"/>
                <w:sz w:val="22"/>
              </w:rPr>
              <w:t>,</w:t>
            </w:r>
            <w:r w:rsidRPr="00625B2F">
              <w:rPr>
                <w:rFonts w:eastAsiaTheme="minorHAnsi"/>
                <w:sz w:val="22"/>
              </w:rPr>
              <w:t>5</w:t>
            </w:r>
            <w:r w:rsidR="00F43F07">
              <w:rPr>
                <w:rFonts w:eastAsiaTheme="minorHAnsi"/>
                <w:sz w:val="22"/>
              </w:rPr>
              <w:t xml:space="preserve"> </w:t>
            </w:r>
            <w:r w:rsidRPr="00625B2F">
              <w:rPr>
                <w:rFonts w:eastAsiaTheme="minorHAnsi"/>
                <w:sz w:val="22"/>
              </w:rPr>
              <w:t>%</w:t>
            </w:r>
          </w:p>
        </w:tc>
        <w:tc>
          <w:tcPr>
            <w:tcW w:w="991" w:type="dxa"/>
            <w:noWrap/>
            <w:hideMark/>
          </w:tcPr>
          <w:p w14:paraId="6A0168F2" w14:textId="729C74D9" w:rsidR="00625B2F" w:rsidRPr="00625B2F" w:rsidRDefault="00625B2F" w:rsidP="00F43F07">
            <w:pPr>
              <w:jc w:val="center"/>
              <w:rPr>
                <w:rFonts w:eastAsiaTheme="minorHAnsi"/>
                <w:sz w:val="22"/>
              </w:rPr>
            </w:pPr>
            <w:r w:rsidRPr="00625B2F">
              <w:rPr>
                <w:rFonts w:eastAsiaTheme="minorHAnsi"/>
                <w:sz w:val="22"/>
              </w:rPr>
              <w:t>3</w:t>
            </w:r>
            <w:r w:rsidR="00F43F07">
              <w:rPr>
                <w:rFonts w:eastAsiaTheme="minorHAnsi"/>
                <w:sz w:val="22"/>
              </w:rPr>
              <w:t>,</w:t>
            </w:r>
            <w:r w:rsidRPr="00625B2F">
              <w:rPr>
                <w:rFonts w:eastAsiaTheme="minorHAnsi"/>
                <w:sz w:val="22"/>
              </w:rPr>
              <w:t>0</w:t>
            </w:r>
            <w:r w:rsidR="00F43F07">
              <w:rPr>
                <w:rFonts w:eastAsiaTheme="minorHAnsi"/>
                <w:sz w:val="22"/>
              </w:rPr>
              <w:t xml:space="preserve"> </w:t>
            </w:r>
            <w:r w:rsidRPr="00625B2F">
              <w:rPr>
                <w:rFonts w:eastAsiaTheme="minorHAnsi"/>
                <w:sz w:val="22"/>
              </w:rPr>
              <w:t>%</w:t>
            </w:r>
          </w:p>
        </w:tc>
        <w:tc>
          <w:tcPr>
            <w:tcW w:w="991" w:type="dxa"/>
            <w:noWrap/>
            <w:hideMark/>
          </w:tcPr>
          <w:p w14:paraId="5323F689" w14:textId="4FE1D10E" w:rsidR="00625B2F" w:rsidRPr="00625B2F" w:rsidRDefault="00625B2F" w:rsidP="00625B2F">
            <w:pPr>
              <w:jc w:val="center"/>
              <w:rPr>
                <w:rFonts w:eastAsiaTheme="minorHAnsi"/>
                <w:sz w:val="22"/>
              </w:rPr>
            </w:pPr>
            <w:r w:rsidRPr="00625B2F">
              <w:rPr>
                <w:rFonts w:eastAsiaTheme="minorHAnsi"/>
                <w:sz w:val="22"/>
              </w:rPr>
              <w:t>2</w:t>
            </w:r>
            <w:r w:rsidR="00F43F07">
              <w:rPr>
                <w:rFonts w:eastAsiaTheme="minorHAnsi"/>
                <w:sz w:val="22"/>
              </w:rPr>
              <w:t xml:space="preserve">,0 </w:t>
            </w:r>
            <w:r w:rsidRPr="00625B2F">
              <w:rPr>
                <w:rFonts w:eastAsiaTheme="minorHAnsi"/>
                <w:sz w:val="22"/>
              </w:rPr>
              <w:t>%</w:t>
            </w:r>
          </w:p>
        </w:tc>
        <w:tc>
          <w:tcPr>
            <w:tcW w:w="1391" w:type="dxa"/>
            <w:noWrap/>
            <w:hideMark/>
          </w:tcPr>
          <w:p w14:paraId="25B5D1D1" w14:textId="0996C93D" w:rsidR="00625B2F" w:rsidRPr="00625B2F" w:rsidRDefault="00625B2F" w:rsidP="00F43F07">
            <w:pPr>
              <w:jc w:val="center"/>
              <w:rPr>
                <w:rFonts w:eastAsiaTheme="minorHAnsi"/>
                <w:sz w:val="22"/>
              </w:rPr>
            </w:pPr>
            <w:r w:rsidRPr="00625B2F">
              <w:rPr>
                <w:rFonts w:eastAsiaTheme="minorHAnsi"/>
                <w:sz w:val="22"/>
              </w:rPr>
              <w:t>4</w:t>
            </w:r>
            <w:r w:rsidR="00F43F07">
              <w:rPr>
                <w:rFonts w:eastAsiaTheme="minorHAnsi"/>
                <w:sz w:val="22"/>
              </w:rPr>
              <w:t>,</w:t>
            </w:r>
            <w:r w:rsidRPr="00625B2F">
              <w:rPr>
                <w:rFonts w:eastAsiaTheme="minorHAnsi"/>
                <w:sz w:val="22"/>
              </w:rPr>
              <w:t>0</w:t>
            </w:r>
            <w:r w:rsidR="00F43F07">
              <w:rPr>
                <w:rFonts w:eastAsiaTheme="minorHAnsi"/>
                <w:sz w:val="22"/>
              </w:rPr>
              <w:t xml:space="preserve"> </w:t>
            </w:r>
            <w:r w:rsidRPr="00625B2F">
              <w:rPr>
                <w:rFonts w:eastAsiaTheme="minorHAnsi"/>
                <w:sz w:val="22"/>
              </w:rPr>
              <w:t>%</w:t>
            </w:r>
          </w:p>
        </w:tc>
      </w:tr>
      <w:tr w:rsidR="00F43F07" w:rsidRPr="00641FF2" w14:paraId="453A4A1C" w14:textId="77777777" w:rsidTr="00F43F07">
        <w:trPr>
          <w:trHeight w:val="529"/>
        </w:trPr>
        <w:tc>
          <w:tcPr>
            <w:tcW w:w="2834" w:type="dxa"/>
            <w:noWrap/>
            <w:hideMark/>
          </w:tcPr>
          <w:p w14:paraId="4E38ADCA" w14:textId="77777777" w:rsidR="00625B2F" w:rsidRPr="00625B2F" w:rsidRDefault="00625B2F" w:rsidP="00625B2F">
            <w:pPr>
              <w:jc w:val="center"/>
              <w:rPr>
                <w:rFonts w:eastAsiaTheme="minorHAnsi"/>
                <w:sz w:val="22"/>
              </w:rPr>
            </w:pPr>
            <w:r w:rsidRPr="00625B2F">
              <w:rPr>
                <w:rFonts w:eastAsiaTheme="minorHAnsi"/>
                <w:sz w:val="22"/>
              </w:rPr>
              <w:t>With electronic room temperature control plus day timer</w:t>
            </w:r>
          </w:p>
        </w:tc>
        <w:tc>
          <w:tcPr>
            <w:tcW w:w="990" w:type="dxa"/>
            <w:noWrap/>
            <w:hideMark/>
          </w:tcPr>
          <w:p w14:paraId="6F6FFAEB" w14:textId="273C83F2" w:rsidR="00625B2F" w:rsidRPr="00625B2F" w:rsidRDefault="00625B2F" w:rsidP="00F43F07">
            <w:pPr>
              <w:jc w:val="center"/>
              <w:rPr>
                <w:rFonts w:eastAsiaTheme="minorHAnsi"/>
                <w:sz w:val="22"/>
              </w:rPr>
            </w:pPr>
            <w:r w:rsidRPr="00625B2F">
              <w:rPr>
                <w:rFonts w:eastAsiaTheme="minorHAnsi"/>
                <w:sz w:val="22"/>
              </w:rPr>
              <w:t>8</w:t>
            </w:r>
            <w:r w:rsidR="00F43F07">
              <w:rPr>
                <w:rFonts w:eastAsiaTheme="minorHAnsi"/>
                <w:sz w:val="22"/>
              </w:rPr>
              <w:t>,</w:t>
            </w:r>
            <w:r w:rsidRPr="00625B2F">
              <w:rPr>
                <w:rFonts w:eastAsiaTheme="minorHAnsi"/>
                <w:sz w:val="22"/>
              </w:rPr>
              <w:t>0</w:t>
            </w:r>
            <w:r w:rsidR="00F43F07">
              <w:rPr>
                <w:rFonts w:eastAsiaTheme="minorHAnsi"/>
                <w:sz w:val="22"/>
              </w:rPr>
              <w:t xml:space="preserve"> </w:t>
            </w:r>
            <w:r w:rsidRPr="00625B2F">
              <w:rPr>
                <w:rFonts w:eastAsiaTheme="minorHAnsi"/>
                <w:sz w:val="22"/>
              </w:rPr>
              <w:t>%</w:t>
            </w:r>
          </w:p>
        </w:tc>
        <w:tc>
          <w:tcPr>
            <w:tcW w:w="991" w:type="dxa"/>
            <w:noWrap/>
            <w:hideMark/>
          </w:tcPr>
          <w:p w14:paraId="35F9EFB9" w14:textId="724A321F" w:rsidR="00625B2F" w:rsidRPr="00625B2F" w:rsidRDefault="00625B2F" w:rsidP="00F43F07">
            <w:pPr>
              <w:jc w:val="center"/>
              <w:rPr>
                <w:rFonts w:eastAsiaTheme="minorHAnsi"/>
                <w:sz w:val="22"/>
              </w:rPr>
            </w:pPr>
            <w:r w:rsidRPr="00625B2F">
              <w:rPr>
                <w:rFonts w:eastAsiaTheme="minorHAnsi"/>
                <w:sz w:val="22"/>
              </w:rPr>
              <w:t>5</w:t>
            </w:r>
            <w:r w:rsidR="00F43F07">
              <w:rPr>
                <w:rFonts w:eastAsiaTheme="minorHAnsi"/>
                <w:sz w:val="22"/>
              </w:rPr>
              <w:t>,</w:t>
            </w:r>
            <w:r w:rsidRPr="00625B2F">
              <w:rPr>
                <w:rFonts w:eastAsiaTheme="minorHAnsi"/>
                <w:sz w:val="22"/>
              </w:rPr>
              <w:t>0</w:t>
            </w:r>
            <w:r w:rsidR="00F43F07">
              <w:rPr>
                <w:rFonts w:eastAsiaTheme="minorHAnsi"/>
                <w:sz w:val="22"/>
              </w:rPr>
              <w:t xml:space="preserve"> </w:t>
            </w:r>
            <w:r w:rsidRPr="00625B2F">
              <w:rPr>
                <w:rFonts w:eastAsiaTheme="minorHAnsi"/>
                <w:sz w:val="22"/>
              </w:rPr>
              <w:t>%</w:t>
            </w:r>
          </w:p>
        </w:tc>
        <w:tc>
          <w:tcPr>
            <w:tcW w:w="991" w:type="dxa"/>
            <w:noWrap/>
            <w:hideMark/>
          </w:tcPr>
          <w:p w14:paraId="506E6AD7" w14:textId="29C4004D" w:rsidR="00625B2F" w:rsidRPr="00625B2F" w:rsidRDefault="00625B2F" w:rsidP="00F43F07">
            <w:pPr>
              <w:jc w:val="center"/>
              <w:rPr>
                <w:rFonts w:eastAsiaTheme="minorHAnsi"/>
                <w:sz w:val="22"/>
              </w:rPr>
            </w:pPr>
            <w:r w:rsidRPr="00625B2F">
              <w:rPr>
                <w:rFonts w:eastAsiaTheme="minorHAnsi"/>
                <w:sz w:val="22"/>
              </w:rPr>
              <w:t>2</w:t>
            </w:r>
            <w:r w:rsidR="00F43F07">
              <w:rPr>
                <w:rFonts w:eastAsiaTheme="minorHAnsi"/>
                <w:sz w:val="22"/>
              </w:rPr>
              <w:t>,</w:t>
            </w:r>
            <w:r w:rsidRPr="00625B2F">
              <w:rPr>
                <w:rFonts w:eastAsiaTheme="minorHAnsi"/>
                <w:sz w:val="22"/>
              </w:rPr>
              <w:t>5</w:t>
            </w:r>
            <w:r w:rsidR="00F43F07">
              <w:rPr>
                <w:rFonts w:eastAsiaTheme="minorHAnsi"/>
                <w:sz w:val="22"/>
              </w:rPr>
              <w:t xml:space="preserve"> </w:t>
            </w:r>
            <w:r w:rsidRPr="00625B2F">
              <w:rPr>
                <w:rFonts w:eastAsiaTheme="minorHAnsi"/>
                <w:sz w:val="22"/>
              </w:rPr>
              <w:t>%</w:t>
            </w:r>
          </w:p>
        </w:tc>
        <w:tc>
          <w:tcPr>
            <w:tcW w:w="991" w:type="dxa"/>
            <w:noWrap/>
            <w:hideMark/>
          </w:tcPr>
          <w:p w14:paraId="3705A3C1" w14:textId="3A66D81B" w:rsidR="00625B2F" w:rsidRPr="00625B2F" w:rsidRDefault="00625B2F" w:rsidP="00F43F07">
            <w:pPr>
              <w:jc w:val="center"/>
              <w:rPr>
                <w:rFonts w:eastAsiaTheme="minorHAnsi"/>
                <w:sz w:val="22"/>
              </w:rPr>
            </w:pPr>
            <w:r w:rsidRPr="00625B2F">
              <w:rPr>
                <w:rFonts w:eastAsiaTheme="minorHAnsi"/>
                <w:sz w:val="22"/>
              </w:rPr>
              <w:t>5</w:t>
            </w:r>
            <w:r w:rsidR="00F43F07">
              <w:rPr>
                <w:rFonts w:eastAsiaTheme="minorHAnsi"/>
                <w:sz w:val="22"/>
              </w:rPr>
              <w:t>,</w:t>
            </w:r>
            <w:r w:rsidRPr="00625B2F">
              <w:rPr>
                <w:rFonts w:eastAsiaTheme="minorHAnsi"/>
                <w:sz w:val="22"/>
              </w:rPr>
              <w:t>0</w:t>
            </w:r>
            <w:r w:rsidR="00F43F07">
              <w:rPr>
                <w:rFonts w:eastAsiaTheme="minorHAnsi"/>
                <w:sz w:val="22"/>
              </w:rPr>
              <w:t xml:space="preserve"> </w:t>
            </w:r>
            <w:r w:rsidRPr="00625B2F">
              <w:rPr>
                <w:rFonts w:eastAsiaTheme="minorHAnsi"/>
                <w:sz w:val="22"/>
              </w:rPr>
              <w:t>%</w:t>
            </w:r>
          </w:p>
        </w:tc>
        <w:tc>
          <w:tcPr>
            <w:tcW w:w="991" w:type="dxa"/>
            <w:noWrap/>
            <w:hideMark/>
          </w:tcPr>
          <w:p w14:paraId="6E68014C" w14:textId="31906859" w:rsidR="00625B2F" w:rsidRPr="00625B2F" w:rsidRDefault="00625B2F" w:rsidP="00625B2F">
            <w:pPr>
              <w:jc w:val="center"/>
              <w:rPr>
                <w:rFonts w:eastAsiaTheme="minorHAnsi"/>
                <w:sz w:val="22"/>
              </w:rPr>
            </w:pPr>
            <w:r w:rsidRPr="00625B2F">
              <w:rPr>
                <w:rFonts w:eastAsiaTheme="minorHAnsi"/>
                <w:sz w:val="22"/>
              </w:rPr>
              <w:t>5</w:t>
            </w:r>
            <w:r w:rsidR="00F43F07">
              <w:rPr>
                <w:rFonts w:eastAsiaTheme="minorHAnsi"/>
                <w:sz w:val="22"/>
              </w:rPr>
              <w:t xml:space="preserve">,0 </w:t>
            </w:r>
            <w:r w:rsidRPr="00625B2F">
              <w:rPr>
                <w:rFonts w:eastAsiaTheme="minorHAnsi"/>
                <w:sz w:val="22"/>
              </w:rPr>
              <w:t>%</w:t>
            </w:r>
          </w:p>
        </w:tc>
        <w:tc>
          <w:tcPr>
            <w:tcW w:w="1391" w:type="dxa"/>
            <w:noWrap/>
            <w:hideMark/>
          </w:tcPr>
          <w:p w14:paraId="2706A6D0" w14:textId="50CFCB17" w:rsidR="00625B2F" w:rsidRPr="00625B2F" w:rsidRDefault="00625B2F" w:rsidP="00F43F07">
            <w:pPr>
              <w:jc w:val="center"/>
              <w:rPr>
                <w:rFonts w:eastAsiaTheme="minorHAnsi"/>
                <w:sz w:val="22"/>
              </w:rPr>
            </w:pPr>
            <w:r w:rsidRPr="00625B2F">
              <w:rPr>
                <w:rFonts w:eastAsiaTheme="minorHAnsi"/>
                <w:sz w:val="22"/>
              </w:rPr>
              <w:t>6</w:t>
            </w:r>
            <w:r w:rsidR="00F43F07">
              <w:rPr>
                <w:rFonts w:eastAsiaTheme="minorHAnsi"/>
                <w:sz w:val="22"/>
              </w:rPr>
              <w:t>,</w:t>
            </w:r>
            <w:r w:rsidRPr="00625B2F">
              <w:rPr>
                <w:rFonts w:eastAsiaTheme="minorHAnsi"/>
                <w:sz w:val="22"/>
              </w:rPr>
              <w:t>0</w:t>
            </w:r>
            <w:r w:rsidR="00F43F07">
              <w:rPr>
                <w:rFonts w:eastAsiaTheme="minorHAnsi"/>
                <w:sz w:val="22"/>
              </w:rPr>
              <w:t xml:space="preserve"> </w:t>
            </w:r>
            <w:r w:rsidRPr="00625B2F">
              <w:rPr>
                <w:rFonts w:eastAsiaTheme="minorHAnsi"/>
                <w:sz w:val="22"/>
              </w:rPr>
              <w:t>%</w:t>
            </w:r>
          </w:p>
        </w:tc>
      </w:tr>
      <w:tr w:rsidR="00F43F07" w:rsidRPr="00641FF2" w14:paraId="58E7D145" w14:textId="77777777" w:rsidTr="00F43F07">
        <w:trPr>
          <w:trHeight w:val="529"/>
        </w:trPr>
        <w:tc>
          <w:tcPr>
            <w:tcW w:w="2834" w:type="dxa"/>
            <w:noWrap/>
            <w:hideMark/>
          </w:tcPr>
          <w:p w14:paraId="6839F820" w14:textId="77777777" w:rsidR="00625B2F" w:rsidRPr="00625B2F" w:rsidRDefault="00625B2F" w:rsidP="00625B2F">
            <w:pPr>
              <w:jc w:val="center"/>
              <w:rPr>
                <w:rFonts w:eastAsiaTheme="minorHAnsi"/>
                <w:sz w:val="22"/>
              </w:rPr>
            </w:pPr>
            <w:r w:rsidRPr="00625B2F">
              <w:rPr>
                <w:rFonts w:eastAsiaTheme="minorHAnsi"/>
                <w:sz w:val="22"/>
              </w:rPr>
              <w:t xml:space="preserve">With electronic room temperature control plus week timer </w:t>
            </w:r>
          </w:p>
        </w:tc>
        <w:tc>
          <w:tcPr>
            <w:tcW w:w="990" w:type="dxa"/>
            <w:noWrap/>
            <w:hideMark/>
          </w:tcPr>
          <w:p w14:paraId="12F0C94E" w14:textId="39D7E686" w:rsidR="00625B2F" w:rsidRPr="00625B2F" w:rsidRDefault="00625B2F" w:rsidP="00F43F07">
            <w:pPr>
              <w:jc w:val="center"/>
              <w:rPr>
                <w:rFonts w:eastAsiaTheme="minorHAnsi"/>
                <w:sz w:val="22"/>
              </w:rPr>
            </w:pPr>
            <w:r w:rsidRPr="00625B2F">
              <w:rPr>
                <w:rFonts w:eastAsiaTheme="minorHAnsi"/>
                <w:sz w:val="22"/>
              </w:rPr>
              <w:t>9</w:t>
            </w:r>
            <w:r w:rsidR="00F43F07">
              <w:rPr>
                <w:rFonts w:eastAsiaTheme="minorHAnsi"/>
                <w:sz w:val="22"/>
              </w:rPr>
              <w:t>,</w:t>
            </w:r>
            <w:r w:rsidRPr="00625B2F">
              <w:rPr>
                <w:rFonts w:eastAsiaTheme="minorHAnsi"/>
                <w:sz w:val="22"/>
              </w:rPr>
              <w:t>0</w:t>
            </w:r>
            <w:r w:rsidR="00F43F07">
              <w:rPr>
                <w:rFonts w:eastAsiaTheme="minorHAnsi"/>
                <w:sz w:val="22"/>
              </w:rPr>
              <w:t xml:space="preserve"> </w:t>
            </w:r>
            <w:r w:rsidRPr="00625B2F">
              <w:rPr>
                <w:rFonts w:eastAsiaTheme="minorHAnsi"/>
                <w:sz w:val="22"/>
              </w:rPr>
              <w:t>%</w:t>
            </w:r>
          </w:p>
        </w:tc>
        <w:tc>
          <w:tcPr>
            <w:tcW w:w="991" w:type="dxa"/>
            <w:noWrap/>
            <w:hideMark/>
          </w:tcPr>
          <w:p w14:paraId="3A677B78" w14:textId="5AB4315B" w:rsidR="00625B2F" w:rsidRPr="00625B2F" w:rsidRDefault="00625B2F" w:rsidP="00F43F07">
            <w:pPr>
              <w:jc w:val="center"/>
              <w:rPr>
                <w:rFonts w:eastAsiaTheme="minorHAnsi"/>
                <w:sz w:val="22"/>
              </w:rPr>
            </w:pPr>
            <w:r w:rsidRPr="00625B2F">
              <w:rPr>
                <w:rFonts w:eastAsiaTheme="minorHAnsi"/>
                <w:sz w:val="22"/>
              </w:rPr>
              <w:t>7</w:t>
            </w:r>
            <w:r w:rsidR="00F43F07">
              <w:rPr>
                <w:rFonts w:eastAsiaTheme="minorHAnsi"/>
                <w:sz w:val="22"/>
              </w:rPr>
              <w:t>,</w:t>
            </w:r>
            <w:r w:rsidRPr="00625B2F">
              <w:rPr>
                <w:rFonts w:eastAsiaTheme="minorHAnsi"/>
                <w:sz w:val="22"/>
              </w:rPr>
              <w:t>0</w:t>
            </w:r>
            <w:r w:rsidR="00F43F07">
              <w:rPr>
                <w:rFonts w:eastAsiaTheme="minorHAnsi"/>
                <w:sz w:val="22"/>
              </w:rPr>
              <w:t xml:space="preserve"> </w:t>
            </w:r>
            <w:r w:rsidRPr="00625B2F">
              <w:rPr>
                <w:rFonts w:eastAsiaTheme="minorHAnsi"/>
                <w:sz w:val="22"/>
              </w:rPr>
              <w:t>%</w:t>
            </w:r>
          </w:p>
        </w:tc>
        <w:tc>
          <w:tcPr>
            <w:tcW w:w="991" w:type="dxa"/>
            <w:noWrap/>
            <w:hideMark/>
          </w:tcPr>
          <w:p w14:paraId="2EF88509" w14:textId="52BFD31A" w:rsidR="00625B2F" w:rsidRPr="00625B2F" w:rsidRDefault="00625B2F" w:rsidP="00F43F07">
            <w:pPr>
              <w:jc w:val="center"/>
              <w:rPr>
                <w:rFonts w:eastAsiaTheme="minorHAnsi"/>
                <w:sz w:val="22"/>
              </w:rPr>
            </w:pPr>
            <w:r w:rsidRPr="00625B2F">
              <w:rPr>
                <w:rFonts w:eastAsiaTheme="minorHAnsi"/>
                <w:sz w:val="22"/>
              </w:rPr>
              <w:t>3</w:t>
            </w:r>
            <w:r w:rsidR="00F43F07">
              <w:rPr>
                <w:rFonts w:eastAsiaTheme="minorHAnsi"/>
                <w:sz w:val="22"/>
              </w:rPr>
              <w:t>,</w:t>
            </w:r>
            <w:r w:rsidRPr="00625B2F">
              <w:rPr>
                <w:rFonts w:eastAsiaTheme="minorHAnsi"/>
                <w:sz w:val="22"/>
              </w:rPr>
              <w:t>5</w:t>
            </w:r>
            <w:r w:rsidR="00F43F07">
              <w:rPr>
                <w:rFonts w:eastAsiaTheme="minorHAnsi"/>
                <w:sz w:val="22"/>
              </w:rPr>
              <w:t xml:space="preserve"> </w:t>
            </w:r>
            <w:r w:rsidRPr="00625B2F">
              <w:rPr>
                <w:rFonts w:eastAsiaTheme="minorHAnsi"/>
                <w:sz w:val="22"/>
              </w:rPr>
              <w:t>%</w:t>
            </w:r>
          </w:p>
        </w:tc>
        <w:tc>
          <w:tcPr>
            <w:tcW w:w="991" w:type="dxa"/>
            <w:noWrap/>
            <w:hideMark/>
          </w:tcPr>
          <w:p w14:paraId="0F1466F7" w14:textId="679DDC3E" w:rsidR="00625B2F" w:rsidRPr="00625B2F" w:rsidRDefault="00625B2F" w:rsidP="00F43F07">
            <w:pPr>
              <w:jc w:val="center"/>
              <w:rPr>
                <w:rFonts w:eastAsiaTheme="minorHAnsi"/>
                <w:sz w:val="22"/>
              </w:rPr>
            </w:pPr>
            <w:r w:rsidRPr="00625B2F">
              <w:rPr>
                <w:rFonts w:eastAsiaTheme="minorHAnsi"/>
                <w:sz w:val="22"/>
              </w:rPr>
              <w:t>7</w:t>
            </w:r>
            <w:r w:rsidR="00F43F07">
              <w:rPr>
                <w:rFonts w:eastAsiaTheme="minorHAnsi"/>
                <w:sz w:val="22"/>
              </w:rPr>
              <w:t>,</w:t>
            </w:r>
            <w:r w:rsidRPr="00625B2F">
              <w:rPr>
                <w:rFonts w:eastAsiaTheme="minorHAnsi"/>
                <w:sz w:val="22"/>
              </w:rPr>
              <w:t>0</w:t>
            </w:r>
            <w:r w:rsidR="00F43F07">
              <w:rPr>
                <w:rFonts w:eastAsiaTheme="minorHAnsi"/>
                <w:sz w:val="22"/>
              </w:rPr>
              <w:t xml:space="preserve"> </w:t>
            </w:r>
            <w:r w:rsidRPr="00625B2F">
              <w:rPr>
                <w:rFonts w:eastAsiaTheme="minorHAnsi"/>
                <w:sz w:val="22"/>
              </w:rPr>
              <w:t>%</w:t>
            </w:r>
          </w:p>
        </w:tc>
        <w:tc>
          <w:tcPr>
            <w:tcW w:w="991" w:type="dxa"/>
            <w:noWrap/>
            <w:hideMark/>
          </w:tcPr>
          <w:p w14:paraId="1CBECA27" w14:textId="142F71D6" w:rsidR="00625B2F" w:rsidRPr="00625B2F" w:rsidRDefault="00625B2F" w:rsidP="00625B2F">
            <w:pPr>
              <w:jc w:val="center"/>
              <w:rPr>
                <w:rFonts w:eastAsiaTheme="minorHAnsi"/>
                <w:sz w:val="22"/>
              </w:rPr>
            </w:pPr>
            <w:r w:rsidRPr="00625B2F">
              <w:rPr>
                <w:rFonts w:eastAsiaTheme="minorHAnsi"/>
                <w:sz w:val="22"/>
              </w:rPr>
              <w:t>7</w:t>
            </w:r>
            <w:r w:rsidR="00F43F07">
              <w:rPr>
                <w:rFonts w:eastAsiaTheme="minorHAnsi"/>
                <w:sz w:val="22"/>
              </w:rPr>
              <w:t xml:space="preserve">,0 </w:t>
            </w:r>
            <w:r w:rsidRPr="00625B2F">
              <w:rPr>
                <w:rFonts w:eastAsiaTheme="minorHAnsi"/>
                <w:sz w:val="22"/>
              </w:rPr>
              <w:t>%</w:t>
            </w:r>
          </w:p>
        </w:tc>
        <w:tc>
          <w:tcPr>
            <w:tcW w:w="1391" w:type="dxa"/>
            <w:noWrap/>
            <w:hideMark/>
          </w:tcPr>
          <w:p w14:paraId="5E5E0B64" w14:textId="62DA85F7" w:rsidR="00625B2F" w:rsidRPr="00625B2F" w:rsidRDefault="00625B2F" w:rsidP="00F43F07">
            <w:pPr>
              <w:jc w:val="center"/>
              <w:rPr>
                <w:rFonts w:eastAsiaTheme="minorHAnsi"/>
                <w:sz w:val="22"/>
              </w:rPr>
            </w:pPr>
            <w:r w:rsidRPr="00625B2F">
              <w:rPr>
                <w:rFonts w:eastAsiaTheme="minorHAnsi"/>
                <w:sz w:val="22"/>
              </w:rPr>
              <w:t>7</w:t>
            </w:r>
            <w:r w:rsidR="00F43F07">
              <w:rPr>
                <w:rFonts w:eastAsiaTheme="minorHAnsi"/>
                <w:sz w:val="22"/>
              </w:rPr>
              <w:t>,</w:t>
            </w:r>
            <w:r w:rsidRPr="00625B2F">
              <w:rPr>
                <w:rFonts w:eastAsiaTheme="minorHAnsi"/>
                <w:sz w:val="22"/>
              </w:rPr>
              <w:t>0</w:t>
            </w:r>
            <w:r w:rsidR="00F43F07">
              <w:rPr>
                <w:rFonts w:eastAsiaTheme="minorHAnsi"/>
                <w:sz w:val="22"/>
              </w:rPr>
              <w:t xml:space="preserve"> </w:t>
            </w:r>
            <w:r w:rsidRPr="00625B2F">
              <w:rPr>
                <w:rFonts w:eastAsiaTheme="minorHAnsi"/>
                <w:sz w:val="22"/>
              </w:rPr>
              <w:t>%</w:t>
            </w:r>
          </w:p>
        </w:tc>
      </w:tr>
    </w:tbl>
    <w:p w14:paraId="5E27E5D7" w14:textId="77777777" w:rsidR="00F43F07" w:rsidRDefault="00F43F07" w:rsidP="00F43F07">
      <w:pPr>
        <w:pStyle w:val="Text2"/>
      </w:pPr>
      <w:r>
        <w:t>’;</w:t>
      </w:r>
    </w:p>
    <w:p w14:paraId="027F281A" w14:textId="32A1E904" w:rsidR="00F43F07" w:rsidRDefault="00F43F07" w:rsidP="00F43F07">
      <w:pPr>
        <w:pStyle w:val="Point1letter"/>
      </w:pPr>
      <w:r>
        <w:t>Table 8 is replaced by the following:</w:t>
      </w:r>
    </w:p>
    <w:p w14:paraId="3DBCF162" w14:textId="3672518A" w:rsidR="000147DF" w:rsidRDefault="000147DF" w:rsidP="000147DF">
      <w:pPr>
        <w:pStyle w:val="Text2"/>
        <w:jc w:val="center"/>
        <w:rPr>
          <w:i/>
          <w:iCs/>
        </w:rPr>
      </w:pPr>
      <w:r>
        <w:rPr>
          <w:i/>
          <w:iCs/>
        </w:rPr>
        <w:t>‘Table 8</w:t>
      </w:r>
    </w:p>
    <w:p w14:paraId="08751839" w14:textId="3126EF74" w:rsidR="000147DF" w:rsidRPr="000147DF" w:rsidRDefault="000147DF" w:rsidP="000147DF">
      <w:pPr>
        <w:pStyle w:val="Text2"/>
        <w:jc w:val="center"/>
        <w:rPr>
          <w:b/>
        </w:rPr>
      </w:pPr>
      <w:r w:rsidRPr="000147DF">
        <w:rPr>
          <w:b/>
        </w:rPr>
        <w:t xml:space="preserve">Correction factor </w:t>
      </w:r>
      <w:proofErr w:type="gramStart"/>
      <w:r w:rsidRPr="000147DF">
        <w:rPr>
          <w:b/>
          <w:i/>
          <w:iCs/>
        </w:rPr>
        <w:t>F</w:t>
      </w:r>
      <w:r w:rsidRPr="000147DF">
        <w:rPr>
          <w:b/>
        </w:rPr>
        <w:t>(</w:t>
      </w:r>
      <w:proofErr w:type="gramEnd"/>
      <w:r w:rsidRPr="000147DF">
        <w:rPr>
          <w:b/>
        </w:rPr>
        <w:t>3)</w:t>
      </w:r>
    </w:p>
    <w:tbl>
      <w:tblPr>
        <w:tblStyle w:val="PlainTable2"/>
        <w:tblW w:w="9179" w:type="dxa"/>
        <w:tblBorders>
          <w:insideH w:val="single" w:sz="4" w:space="0" w:color="auto"/>
          <w:insideV w:val="single" w:sz="4" w:space="0" w:color="auto"/>
        </w:tblBorders>
        <w:tblLayout w:type="fixed"/>
        <w:tblLook w:val="04A0" w:firstRow="1" w:lastRow="0" w:firstColumn="1" w:lastColumn="0" w:noHBand="0" w:noVBand="1"/>
      </w:tblPr>
      <w:tblGrid>
        <w:gridCol w:w="2834"/>
        <w:gridCol w:w="990"/>
        <w:gridCol w:w="991"/>
        <w:gridCol w:w="991"/>
        <w:gridCol w:w="991"/>
        <w:gridCol w:w="991"/>
        <w:gridCol w:w="1391"/>
      </w:tblGrid>
      <w:tr w:rsidR="003973E9" w:rsidRPr="000147DF" w14:paraId="7D5EF520" w14:textId="77777777" w:rsidTr="003973E9">
        <w:trPr>
          <w:cnfStyle w:val="100000000000" w:firstRow="1" w:lastRow="0" w:firstColumn="0" w:lastColumn="0" w:oddVBand="0" w:evenVBand="0" w:oddHBand="0"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2834" w:type="dxa"/>
            <w:vMerge w:val="restart"/>
            <w:noWrap/>
            <w:vAlign w:val="center"/>
          </w:tcPr>
          <w:p w14:paraId="472A44F7" w14:textId="043CA25F" w:rsidR="003973E9" w:rsidRPr="003973E9" w:rsidRDefault="003973E9" w:rsidP="003973E9">
            <w:pPr>
              <w:jc w:val="center"/>
              <w:rPr>
                <w:b w:val="0"/>
                <w:sz w:val="22"/>
              </w:rPr>
            </w:pPr>
            <w:r w:rsidRPr="003973E9">
              <w:rPr>
                <w:b w:val="0"/>
                <w:sz w:val="22"/>
              </w:rPr>
              <w:t>If controls for indoor heating comfort type of the product is (multiple options may apply):</w:t>
            </w:r>
          </w:p>
        </w:tc>
        <w:tc>
          <w:tcPr>
            <w:tcW w:w="6345" w:type="dxa"/>
            <w:gridSpan w:val="6"/>
            <w:noWrap/>
          </w:tcPr>
          <w:p w14:paraId="0AC68813" w14:textId="1088D21A" w:rsidR="003973E9" w:rsidRPr="000147DF" w:rsidRDefault="003973E9" w:rsidP="000147DF">
            <w:pPr>
              <w:jc w:val="center"/>
              <w:cnfStyle w:val="100000000000" w:firstRow="1" w:lastRow="0" w:firstColumn="0" w:lastColumn="0" w:oddVBand="0" w:evenVBand="0" w:oddHBand="0" w:evenHBand="0" w:firstRowFirstColumn="0" w:firstRowLastColumn="0" w:lastRowFirstColumn="0" w:lastRowLastColumn="0"/>
              <w:rPr>
                <w:b w:val="0"/>
                <w:sz w:val="22"/>
              </w:rPr>
            </w:pPr>
            <w:r w:rsidRPr="000147DF">
              <w:rPr>
                <w:b w:val="0"/>
                <w:i/>
                <w:sz w:val="22"/>
              </w:rPr>
              <w:t>F</w:t>
            </w:r>
            <w:r w:rsidRPr="000147DF">
              <w:rPr>
                <w:b w:val="0"/>
                <w:sz w:val="22"/>
              </w:rPr>
              <w:t>(3)</w:t>
            </w:r>
          </w:p>
        </w:tc>
      </w:tr>
      <w:tr w:rsidR="003973E9" w:rsidRPr="000147DF" w14:paraId="0D4E4769" w14:textId="77777777" w:rsidTr="000147DF">
        <w:trPr>
          <w:cnfStyle w:val="000000100000" w:firstRow="0" w:lastRow="0" w:firstColumn="0" w:lastColumn="0" w:oddVBand="0" w:evenVBand="0" w:oddHBand="1" w:evenHBand="0" w:firstRowFirstColumn="0" w:firstRowLastColumn="0" w:lastRowFirstColumn="0" w:lastRowLastColumn="0"/>
          <w:trHeight w:val="194"/>
        </w:trPr>
        <w:tc>
          <w:tcPr>
            <w:cnfStyle w:val="001000000000" w:firstRow="0" w:lastRow="0" w:firstColumn="1" w:lastColumn="0" w:oddVBand="0" w:evenVBand="0" w:oddHBand="0" w:evenHBand="0" w:firstRowFirstColumn="0" w:firstRowLastColumn="0" w:lastRowFirstColumn="0" w:lastRowLastColumn="0"/>
            <w:tcW w:w="2834" w:type="dxa"/>
            <w:vMerge/>
            <w:noWrap/>
          </w:tcPr>
          <w:p w14:paraId="3EEEBD9E" w14:textId="77777777" w:rsidR="003973E9" w:rsidRPr="000147DF" w:rsidRDefault="003973E9" w:rsidP="000147DF">
            <w:pPr>
              <w:jc w:val="center"/>
              <w:rPr>
                <w:sz w:val="22"/>
              </w:rPr>
            </w:pPr>
          </w:p>
        </w:tc>
        <w:tc>
          <w:tcPr>
            <w:tcW w:w="4954" w:type="dxa"/>
            <w:gridSpan w:val="5"/>
            <w:noWrap/>
            <w:vAlign w:val="center"/>
          </w:tcPr>
          <w:p w14:paraId="21DC3744" w14:textId="177A0CD3" w:rsidR="003973E9" w:rsidRPr="000147DF" w:rsidRDefault="003973E9" w:rsidP="000147DF">
            <w:pPr>
              <w:jc w:val="center"/>
              <w:cnfStyle w:val="000000100000" w:firstRow="0" w:lastRow="0" w:firstColumn="0" w:lastColumn="0" w:oddVBand="0" w:evenVBand="0" w:oddHBand="1" w:evenHBand="0" w:firstRowFirstColumn="0" w:firstRowLastColumn="0" w:lastRowFirstColumn="0" w:lastRowLastColumn="0"/>
              <w:rPr>
                <w:sz w:val="22"/>
              </w:rPr>
            </w:pPr>
            <w:r w:rsidRPr="000147DF">
              <w:rPr>
                <w:sz w:val="22"/>
              </w:rPr>
              <w:t>For electric local space heaters</w:t>
            </w:r>
          </w:p>
        </w:tc>
        <w:tc>
          <w:tcPr>
            <w:tcW w:w="1391" w:type="dxa"/>
            <w:vMerge w:val="restart"/>
            <w:noWrap/>
            <w:vAlign w:val="center"/>
          </w:tcPr>
          <w:p w14:paraId="1490CCE9" w14:textId="77777777" w:rsidR="003973E9" w:rsidRPr="000147DF" w:rsidRDefault="003973E9" w:rsidP="000147DF">
            <w:pPr>
              <w:pStyle w:val="Tablestyle"/>
              <w:keepNext/>
              <w:keepLines/>
              <w:jc w:val="center"/>
              <w:cnfStyle w:val="000000100000" w:firstRow="0" w:lastRow="0" w:firstColumn="0" w:lastColumn="0" w:oddVBand="0" w:evenVBand="0" w:oddHBand="1" w:evenHBand="0" w:firstRowFirstColumn="0" w:firstRowLastColumn="0" w:lastRowFirstColumn="0" w:lastRowLastColumn="0"/>
              <w:rPr>
                <w:rFonts w:ascii="Times New Roman" w:eastAsiaTheme="minorHAnsi" w:hAnsi="Times New Roman" w:cs="Times New Roman"/>
              </w:rPr>
            </w:pPr>
            <w:r w:rsidRPr="000147DF">
              <w:rPr>
                <w:rFonts w:ascii="Times New Roman" w:eastAsiaTheme="minorHAnsi" w:hAnsi="Times New Roman" w:cs="Times New Roman"/>
              </w:rPr>
              <w:t>For local space heaters using gaseous or</w:t>
            </w:r>
          </w:p>
          <w:p w14:paraId="1840E999" w14:textId="1211B301" w:rsidR="003973E9" w:rsidRPr="000147DF" w:rsidRDefault="003973E9" w:rsidP="000147DF">
            <w:pPr>
              <w:jc w:val="center"/>
              <w:cnfStyle w:val="000000100000" w:firstRow="0" w:lastRow="0" w:firstColumn="0" w:lastColumn="0" w:oddVBand="0" w:evenVBand="0" w:oddHBand="1" w:evenHBand="0" w:firstRowFirstColumn="0" w:firstRowLastColumn="0" w:lastRowFirstColumn="0" w:lastRowLastColumn="0"/>
              <w:rPr>
                <w:sz w:val="22"/>
              </w:rPr>
            </w:pPr>
            <w:r w:rsidRPr="000147DF">
              <w:rPr>
                <w:sz w:val="22"/>
              </w:rPr>
              <w:t>liquid fuel</w:t>
            </w:r>
          </w:p>
        </w:tc>
      </w:tr>
      <w:tr w:rsidR="003973E9" w:rsidRPr="000147DF" w14:paraId="6DFAA7E5" w14:textId="77777777" w:rsidTr="000147DF">
        <w:trPr>
          <w:trHeight w:val="194"/>
        </w:trPr>
        <w:tc>
          <w:tcPr>
            <w:cnfStyle w:val="001000000000" w:firstRow="0" w:lastRow="0" w:firstColumn="1" w:lastColumn="0" w:oddVBand="0" w:evenVBand="0" w:oddHBand="0" w:evenHBand="0" w:firstRowFirstColumn="0" w:firstRowLastColumn="0" w:lastRowFirstColumn="0" w:lastRowLastColumn="0"/>
            <w:tcW w:w="2834" w:type="dxa"/>
            <w:vMerge/>
            <w:noWrap/>
          </w:tcPr>
          <w:p w14:paraId="57C643B7" w14:textId="77777777" w:rsidR="003973E9" w:rsidRPr="000147DF" w:rsidRDefault="003973E9" w:rsidP="000147DF">
            <w:pPr>
              <w:jc w:val="center"/>
              <w:rPr>
                <w:sz w:val="22"/>
              </w:rPr>
            </w:pPr>
          </w:p>
        </w:tc>
        <w:tc>
          <w:tcPr>
            <w:tcW w:w="990" w:type="dxa"/>
            <w:noWrap/>
          </w:tcPr>
          <w:p w14:paraId="6C20A2C9" w14:textId="5F8AA645" w:rsidR="003973E9" w:rsidRPr="000147DF" w:rsidRDefault="003973E9" w:rsidP="000147DF">
            <w:pPr>
              <w:jc w:val="center"/>
              <w:cnfStyle w:val="000000000000" w:firstRow="0" w:lastRow="0" w:firstColumn="0" w:lastColumn="0" w:oddVBand="0" w:evenVBand="0" w:oddHBand="0" w:evenHBand="0" w:firstRowFirstColumn="0" w:firstRowLastColumn="0" w:lastRowFirstColumn="0" w:lastRowLastColumn="0"/>
              <w:rPr>
                <w:i/>
                <w:sz w:val="22"/>
              </w:rPr>
            </w:pPr>
            <w:r w:rsidRPr="000147DF">
              <w:rPr>
                <w:sz w:val="22"/>
              </w:rPr>
              <w:t xml:space="preserve">Portable </w:t>
            </w:r>
          </w:p>
        </w:tc>
        <w:tc>
          <w:tcPr>
            <w:tcW w:w="991" w:type="dxa"/>
            <w:noWrap/>
          </w:tcPr>
          <w:p w14:paraId="3B11FB05" w14:textId="65197BFB" w:rsidR="003973E9" w:rsidRPr="000147DF" w:rsidRDefault="003973E9" w:rsidP="000147DF">
            <w:pPr>
              <w:jc w:val="center"/>
              <w:cnfStyle w:val="000000000000" w:firstRow="0" w:lastRow="0" w:firstColumn="0" w:lastColumn="0" w:oddVBand="0" w:evenVBand="0" w:oddHBand="0" w:evenHBand="0" w:firstRowFirstColumn="0" w:firstRowLastColumn="0" w:lastRowFirstColumn="0" w:lastRowLastColumn="0"/>
              <w:rPr>
                <w:i/>
                <w:sz w:val="22"/>
              </w:rPr>
            </w:pPr>
            <w:r w:rsidRPr="000147DF">
              <w:rPr>
                <w:sz w:val="22"/>
              </w:rPr>
              <w:t>Fixed</w:t>
            </w:r>
          </w:p>
        </w:tc>
        <w:tc>
          <w:tcPr>
            <w:tcW w:w="991" w:type="dxa"/>
            <w:noWrap/>
          </w:tcPr>
          <w:p w14:paraId="3BD7CE5A" w14:textId="1DB64100" w:rsidR="003973E9" w:rsidRPr="000147DF" w:rsidRDefault="003973E9" w:rsidP="000147DF">
            <w:pPr>
              <w:jc w:val="center"/>
              <w:cnfStyle w:val="000000000000" w:firstRow="0" w:lastRow="0" w:firstColumn="0" w:lastColumn="0" w:oddVBand="0" w:evenVBand="0" w:oddHBand="0" w:evenHBand="0" w:firstRowFirstColumn="0" w:firstRowLastColumn="0" w:lastRowFirstColumn="0" w:lastRowLastColumn="0"/>
              <w:rPr>
                <w:i/>
                <w:sz w:val="22"/>
              </w:rPr>
            </w:pPr>
            <w:r w:rsidRPr="000147DF">
              <w:rPr>
                <w:sz w:val="22"/>
              </w:rPr>
              <w:t>Storage</w:t>
            </w:r>
          </w:p>
        </w:tc>
        <w:tc>
          <w:tcPr>
            <w:tcW w:w="991" w:type="dxa"/>
            <w:noWrap/>
          </w:tcPr>
          <w:p w14:paraId="61141CDF" w14:textId="73E8574B" w:rsidR="003973E9" w:rsidRPr="000147DF" w:rsidRDefault="003973E9" w:rsidP="000147DF">
            <w:pPr>
              <w:jc w:val="center"/>
              <w:cnfStyle w:val="000000000000" w:firstRow="0" w:lastRow="0" w:firstColumn="0" w:lastColumn="0" w:oddVBand="0" w:evenVBand="0" w:oddHBand="0" w:evenHBand="0" w:firstRowFirstColumn="0" w:firstRowLastColumn="0" w:lastRowFirstColumn="0" w:lastRowLastColumn="0"/>
              <w:rPr>
                <w:i/>
                <w:sz w:val="22"/>
              </w:rPr>
            </w:pPr>
            <w:r w:rsidRPr="000147DF">
              <w:rPr>
                <w:sz w:val="22"/>
              </w:rPr>
              <w:t>Underfloor</w:t>
            </w:r>
          </w:p>
        </w:tc>
        <w:tc>
          <w:tcPr>
            <w:tcW w:w="991" w:type="dxa"/>
            <w:noWrap/>
          </w:tcPr>
          <w:p w14:paraId="5BA49078" w14:textId="3369BE39" w:rsidR="003973E9" w:rsidRPr="000147DF" w:rsidRDefault="003973E9" w:rsidP="000147DF">
            <w:pPr>
              <w:jc w:val="center"/>
              <w:cnfStyle w:val="000000000000" w:firstRow="0" w:lastRow="0" w:firstColumn="0" w:lastColumn="0" w:oddVBand="0" w:evenVBand="0" w:oddHBand="0" w:evenHBand="0" w:firstRowFirstColumn="0" w:firstRowLastColumn="0" w:lastRowFirstColumn="0" w:lastRowLastColumn="0"/>
              <w:rPr>
                <w:i/>
                <w:sz w:val="22"/>
              </w:rPr>
            </w:pPr>
            <w:r w:rsidRPr="000147DF">
              <w:rPr>
                <w:sz w:val="22"/>
              </w:rPr>
              <w:t>Towel</w:t>
            </w:r>
          </w:p>
        </w:tc>
        <w:tc>
          <w:tcPr>
            <w:tcW w:w="1391" w:type="dxa"/>
            <w:vMerge/>
            <w:noWrap/>
          </w:tcPr>
          <w:p w14:paraId="5347364A" w14:textId="77777777" w:rsidR="003973E9" w:rsidRPr="000147DF" w:rsidRDefault="003973E9" w:rsidP="000147DF">
            <w:pPr>
              <w:jc w:val="center"/>
              <w:cnfStyle w:val="000000000000" w:firstRow="0" w:lastRow="0" w:firstColumn="0" w:lastColumn="0" w:oddVBand="0" w:evenVBand="0" w:oddHBand="0" w:evenHBand="0" w:firstRowFirstColumn="0" w:firstRowLastColumn="0" w:lastRowFirstColumn="0" w:lastRowLastColumn="0"/>
              <w:rPr>
                <w:i/>
                <w:sz w:val="22"/>
              </w:rPr>
            </w:pPr>
          </w:p>
        </w:tc>
      </w:tr>
      <w:tr w:rsidR="000147DF" w:rsidRPr="000147DF" w14:paraId="1AC650CC" w14:textId="77777777" w:rsidTr="000147DF">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2834" w:type="dxa"/>
            <w:tcBorders>
              <w:top w:val="none" w:sz="0" w:space="0" w:color="auto"/>
              <w:bottom w:val="none" w:sz="0" w:space="0" w:color="auto"/>
            </w:tcBorders>
            <w:noWrap/>
            <w:hideMark/>
          </w:tcPr>
          <w:p w14:paraId="23A63CDA" w14:textId="77777777" w:rsidR="000147DF" w:rsidRPr="000147DF" w:rsidRDefault="000147DF" w:rsidP="000147DF">
            <w:pPr>
              <w:jc w:val="center"/>
              <w:rPr>
                <w:b w:val="0"/>
                <w:sz w:val="22"/>
              </w:rPr>
            </w:pPr>
            <w:r w:rsidRPr="000147DF">
              <w:rPr>
                <w:b w:val="0"/>
                <w:sz w:val="22"/>
              </w:rPr>
              <w:t xml:space="preserve">With presence detection </w:t>
            </w:r>
          </w:p>
        </w:tc>
        <w:tc>
          <w:tcPr>
            <w:tcW w:w="990" w:type="dxa"/>
            <w:tcBorders>
              <w:top w:val="none" w:sz="0" w:space="0" w:color="auto"/>
              <w:bottom w:val="none" w:sz="0" w:space="0" w:color="auto"/>
            </w:tcBorders>
            <w:noWrap/>
            <w:hideMark/>
          </w:tcPr>
          <w:p w14:paraId="3B793457" w14:textId="22608EB1" w:rsidR="000147DF" w:rsidRPr="000147DF" w:rsidRDefault="000147DF" w:rsidP="000147DF">
            <w:pPr>
              <w:jc w:val="center"/>
              <w:cnfStyle w:val="000000100000" w:firstRow="0" w:lastRow="0" w:firstColumn="0" w:lastColumn="0" w:oddVBand="0" w:evenVBand="0" w:oddHBand="1" w:evenHBand="0" w:firstRowFirstColumn="0" w:firstRowLastColumn="0" w:lastRowFirstColumn="0" w:lastRowLastColumn="0"/>
              <w:rPr>
                <w:sz w:val="22"/>
              </w:rPr>
            </w:pPr>
            <w:r w:rsidRPr="000147DF">
              <w:rPr>
                <w:sz w:val="22"/>
              </w:rPr>
              <w:t>1,0 %</w:t>
            </w:r>
          </w:p>
        </w:tc>
        <w:tc>
          <w:tcPr>
            <w:tcW w:w="991" w:type="dxa"/>
            <w:tcBorders>
              <w:top w:val="none" w:sz="0" w:space="0" w:color="auto"/>
              <w:bottom w:val="none" w:sz="0" w:space="0" w:color="auto"/>
            </w:tcBorders>
            <w:noWrap/>
            <w:hideMark/>
          </w:tcPr>
          <w:p w14:paraId="33D9B4FA" w14:textId="599CB729" w:rsidR="000147DF" w:rsidRPr="000147DF" w:rsidRDefault="000147DF" w:rsidP="000147DF">
            <w:pPr>
              <w:jc w:val="center"/>
              <w:cnfStyle w:val="000000100000" w:firstRow="0" w:lastRow="0" w:firstColumn="0" w:lastColumn="0" w:oddVBand="0" w:evenVBand="0" w:oddHBand="1" w:evenHBand="0" w:firstRowFirstColumn="0" w:firstRowLastColumn="0" w:lastRowFirstColumn="0" w:lastRowLastColumn="0"/>
              <w:rPr>
                <w:sz w:val="22"/>
              </w:rPr>
            </w:pPr>
            <w:r w:rsidRPr="000147DF">
              <w:rPr>
                <w:sz w:val="22"/>
              </w:rPr>
              <w:t>0,0 %</w:t>
            </w:r>
          </w:p>
        </w:tc>
        <w:tc>
          <w:tcPr>
            <w:tcW w:w="991" w:type="dxa"/>
            <w:tcBorders>
              <w:top w:val="none" w:sz="0" w:space="0" w:color="auto"/>
              <w:bottom w:val="none" w:sz="0" w:space="0" w:color="auto"/>
            </w:tcBorders>
            <w:noWrap/>
            <w:hideMark/>
          </w:tcPr>
          <w:p w14:paraId="4200A201" w14:textId="1C21CCAD" w:rsidR="000147DF" w:rsidRPr="000147DF" w:rsidRDefault="000147DF" w:rsidP="000147DF">
            <w:pPr>
              <w:jc w:val="center"/>
              <w:cnfStyle w:val="000000100000" w:firstRow="0" w:lastRow="0" w:firstColumn="0" w:lastColumn="0" w:oddVBand="0" w:evenVBand="0" w:oddHBand="1" w:evenHBand="0" w:firstRowFirstColumn="0" w:firstRowLastColumn="0" w:lastRowFirstColumn="0" w:lastRowLastColumn="0"/>
              <w:rPr>
                <w:sz w:val="22"/>
              </w:rPr>
            </w:pPr>
            <w:r w:rsidRPr="000147DF">
              <w:rPr>
                <w:sz w:val="22"/>
              </w:rPr>
              <w:t>0,0 %</w:t>
            </w:r>
          </w:p>
        </w:tc>
        <w:tc>
          <w:tcPr>
            <w:tcW w:w="991" w:type="dxa"/>
            <w:tcBorders>
              <w:top w:val="none" w:sz="0" w:space="0" w:color="auto"/>
              <w:bottom w:val="none" w:sz="0" w:space="0" w:color="auto"/>
            </w:tcBorders>
            <w:noWrap/>
            <w:hideMark/>
          </w:tcPr>
          <w:p w14:paraId="2D53C945" w14:textId="49B46F88" w:rsidR="000147DF" w:rsidRPr="000147DF" w:rsidRDefault="000147DF" w:rsidP="000147DF">
            <w:pPr>
              <w:jc w:val="center"/>
              <w:cnfStyle w:val="000000100000" w:firstRow="0" w:lastRow="0" w:firstColumn="0" w:lastColumn="0" w:oddVBand="0" w:evenVBand="0" w:oddHBand="1" w:evenHBand="0" w:firstRowFirstColumn="0" w:firstRowLastColumn="0" w:lastRowFirstColumn="0" w:lastRowLastColumn="0"/>
              <w:rPr>
                <w:sz w:val="22"/>
              </w:rPr>
            </w:pPr>
            <w:r w:rsidRPr="000147DF">
              <w:rPr>
                <w:sz w:val="22"/>
              </w:rPr>
              <w:t>0,0 %</w:t>
            </w:r>
          </w:p>
        </w:tc>
        <w:tc>
          <w:tcPr>
            <w:tcW w:w="991" w:type="dxa"/>
            <w:tcBorders>
              <w:top w:val="none" w:sz="0" w:space="0" w:color="auto"/>
              <w:bottom w:val="none" w:sz="0" w:space="0" w:color="auto"/>
            </w:tcBorders>
            <w:noWrap/>
            <w:hideMark/>
          </w:tcPr>
          <w:p w14:paraId="025D2BCB" w14:textId="57BD7710" w:rsidR="000147DF" w:rsidRPr="000147DF" w:rsidRDefault="000147DF" w:rsidP="000147DF">
            <w:pPr>
              <w:jc w:val="center"/>
              <w:cnfStyle w:val="000000100000" w:firstRow="0" w:lastRow="0" w:firstColumn="0" w:lastColumn="0" w:oddVBand="0" w:evenVBand="0" w:oddHBand="1" w:evenHBand="0" w:firstRowFirstColumn="0" w:firstRowLastColumn="0" w:lastRowFirstColumn="0" w:lastRowLastColumn="0"/>
              <w:rPr>
                <w:sz w:val="22"/>
              </w:rPr>
            </w:pPr>
            <w:r w:rsidRPr="000147DF">
              <w:rPr>
                <w:sz w:val="22"/>
              </w:rPr>
              <w:t>0,0 %</w:t>
            </w:r>
          </w:p>
        </w:tc>
        <w:tc>
          <w:tcPr>
            <w:tcW w:w="1391" w:type="dxa"/>
            <w:tcBorders>
              <w:top w:val="none" w:sz="0" w:space="0" w:color="auto"/>
              <w:bottom w:val="none" w:sz="0" w:space="0" w:color="auto"/>
            </w:tcBorders>
            <w:noWrap/>
            <w:hideMark/>
          </w:tcPr>
          <w:p w14:paraId="4B65C869" w14:textId="61DC3961" w:rsidR="000147DF" w:rsidRPr="000147DF" w:rsidRDefault="000147DF" w:rsidP="000147DF">
            <w:pPr>
              <w:jc w:val="center"/>
              <w:cnfStyle w:val="000000100000" w:firstRow="0" w:lastRow="0" w:firstColumn="0" w:lastColumn="0" w:oddVBand="0" w:evenVBand="0" w:oddHBand="1" w:evenHBand="0" w:firstRowFirstColumn="0" w:firstRowLastColumn="0" w:lastRowFirstColumn="0" w:lastRowLastColumn="0"/>
              <w:rPr>
                <w:sz w:val="22"/>
              </w:rPr>
            </w:pPr>
            <w:r w:rsidRPr="000147DF">
              <w:rPr>
                <w:sz w:val="22"/>
              </w:rPr>
              <w:t>1,0 %</w:t>
            </w:r>
          </w:p>
        </w:tc>
      </w:tr>
      <w:tr w:rsidR="000147DF" w:rsidRPr="000147DF" w14:paraId="00820E90" w14:textId="77777777" w:rsidTr="000147DF">
        <w:trPr>
          <w:trHeight w:val="269"/>
        </w:trPr>
        <w:tc>
          <w:tcPr>
            <w:cnfStyle w:val="001000000000" w:firstRow="0" w:lastRow="0" w:firstColumn="1" w:lastColumn="0" w:oddVBand="0" w:evenVBand="0" w:oddHBand="0" w:evenHBand="0" w:firstRowFirstColumn="0" w:firstRowLastColumn="0" w:lastRowFirstColumn="0" w:lastRowLastColumn="0"/>
            <w:tcW w:w="2834" w:type="dxa"/>
            <w:noWrap/>
            <w:hideMark/>
          </w:tcPr>
          <w:p w14:paraId="451654C3" w14:textId="77777777" w:rsidR="000147DF" w:rsidRPr="000147DF" w:rsidRDefault="000147DF" w:rsidP="000147DF">
            <w:pPr>
              <w:jc w:val="center"/>
              <w:rPr>
                <w:b w:val="0"/>
                <w:sz w:val="22"/>
              </w:rPr>
            </w:pPr>
            <w:r w:rsidRPr="000147DF">
              <w:rPr>
                <w:b w:val="0"/>
                <w:sz w:val="22"/>
              </w:rPr>
              <w:t xml:space="preserve">With open window detection </w:t>
            </w:r>
          </w:p>
        </w:tc>
        <w:tc>
          <w:tcPr>
            <w:tcW w:w="990" w:type="dxa"/>
            <w:noWrap/>
            <w:hideMark/>
          </w:tcPr>
          <w:p w14:paraId="04BE8E97" w14:textId="3CE838A2" w:rsidR="000147DF" w:rsidRPr="000147DF" w:rsidRDefault="000147DF" w:rsidP="000147DF">
            <w:pPr>
              <w:jc w:val="center"/>
              <w:cnfStyle w:val="000000000000" w:firstRow="0" w:lastRow="0" w:firstColumn="0" w:lastColumn="0" w:oddVBand="0" w:evenVBand="0" w:oddHBand="0" w:evenHBand="0" w:firstRowFirstColumn="0" w:firstRowLastColumn="0" w:lastRowFirstColumn="0" w:lastRowLastColumn="0"/>
              <w:rPr>
                <w:sz w:val="22"/>
              </w:rPr>
            </w:pPr>
            <w:r w:rsidRPr="000147DF">
              <w:rPr>
                <w:sz w:val="22"/>
              </w:rPr>
              <w:t>0,0 %</w:t>
            </w:r>
          </w:p>
        </w:tc>
        <w:tc>
          <w:tcPr>
            <w:tcW w:w="991" w:type="dxa"/>
            <w:noWrap/>
            <w:hideMark/>
          </w:tcPr>
          <w:p w14:paraId="1D70F0DA" w14:textId="6BE671E6" w:rsidR="000147DF" w:rsidRPr="000147DF" w:rsidRDefault="000147DF" w:rsidP="000147DF">
            <w:pPr>
              <w:jc w:val="center"/>
              <w:cnfStyle w:val="000000000000" w:firstRow="0" w:lastRow="0" w:firstColumn="0" w:lastColumn="0" w:oddVBand="0" w:evenVBand="0" w:oddHBand="0" w:evenHBand="0" w:firstRowFirstColumn="0" w:firstRowLastColumn="0" w:lastRowFirstColumn="0" w:lastRowLastColumn="0"/>
              <w:rPr>
                <w:sz w:val="22"/>
              </w:rPr>
            </w:pPr>
            <w:r w:rsidRPr="000147DF">
              <w:rPr>
                <w:sz w:val="22"/>
              </w:rPr>
              <w:t>1,0 %</w:t>
            </w:r>
          </w:p>
        </w:tc>
        <w:tc>
          <w:tcPr>
            <w:tcW w:w="991" w:type="dxa"/>
            <w:noWrap/>
            <w:hideMark/>
          </w:tcPr>
          <w:p w14:paraId="10D4A54D" w14:textId="3C96E97D" w:rsidR="000147DF" w:rsidRPr="000147DF" w:rsidRDefault="000147DF" w:rsidP="000147DF">
            <w:pPr>
              <w:jc w:val="center"/>
              <w:cnfStyle w:val="000000000000" w:firstRow="0" w:lastRow="0" w:firstColumn="0" w:lastColumn="0" w:oddVBand="0" w:evenVBand="0" w:oddHBand="0" w:evenHBand="0" w:firstRowFirstColumn="0" w:firstRowLastColumn="0" w:lastRowFirstColumn="0" w:lastRowLastColumn="0"/>
              <w:rPr>
                <w:sz w:val="22"/>
              </w:rPr>
            </w:pPr>
            <w:r w:rsidRPr="000147DF">
              <w:rPr>
                <w:sz w:val="22"/>
              </w:rPr>
              <w:t>0,5 %</w:t>
            </w:r>
          </w:p>
        </w:tc>
        <w:tc>
          <w:tcPr>
            <w:tcW w:w="991" w:type="dxa"/>
            <w:noWrap/>
            <w:hideMark/>
          </w:tcPr>
          <w:p w14:paraId="48D64719" w14:textId="7D5DDED8" w:rsidR="000147DF" w:rsidRPr="000147DF" w:rsidRDefault="000147DF" w:rsidP="000147DF">
            <w:pPr>
              <w:jc w:val="center"/>
              <w:cnfStyle w:val="000000000000" w:firstRow="0" w:lastRow="0" w:firstColumn="0" w:lastColumn="0" w:oddVBand="0" w:evenVBand="0" w:oddHBand="0" w:evenHBand="0" w:firstRowFirstColumn="0" w:firstRowLastColumn="0" w:lastRowFirstColumn="0" w:lastRowLastColumn="0"/>
              <w:rPr>
                <w:sz w:val="22"/>
              </w:rPr>
            </w:pPr>
            <w:r w:rsidRPr="000147DF">
              <w:rPr>
                <w:sz w:val="22"/>
              </w:rPr>
              <w:t>1,0 %</w:t>
            </w:r>
          </w:p>
        </w:tc>
        <w:tc>
          <w:tcPr>
            <w:tcW w:w="991" w:type="dxa"/>
            <w:noWrap/>
            <w:hideMark/>
          </w:tcPr>
          <w:p w14:paraId="5F7278E6" w14:textId="779A3396" w:rsidR="000147DF" w:rsidRPr="000147DF" w:rsidRDefault="000147DF" w:rsidP="000147DF">
            <w:pPr>
              <w:jc w:val="center"/>
              <w:cnfStyle w:val="000000000000" w:firstRow="0" w:lastRow="0" w:firstColumn="0" w:lastColumn="0" w:oddVBand="0" w:evenVBand="0" w:oddHBand="0" w:evenHBand="0" w:firstRowFirstColumn="0" w:firstRowLastColumn="0" w:lastRowFirstColumn="0" w:lastRowLastColumn="0"/>
              <w:rPr>
                <w:sz w:val="22"/>
              </w:rPr>
            </w:pPr>
            <w:r w:rsidRPr="000147DF">
              <w:rPr>
                <w:sz w:val="22"/>
              </w:rPr>
              <w:t>1,0 %</w:t>
            </w:r>
          </w:p>
        </w:tc>
        <w:tc>
          <w:tcPr>
            <w:tcW w:w="1391" w:type="dxa"/>
            <w:noWrap/>
            <w:hideMark/>
          </w:tcPr>
          <w:p w14:paraId="45950232" w14:textId="3FF28CFB" w:rsidR="000147DF" w:rsidRPr="000147DF" w:rsidRDefault="000147DF" w:rsidP="000147DF">
            <w:pPr>
              <w:jc w:val="center"/>
              <w:cnfStyle w:val="000000000000" w:firstRow="0" w:lastRow="0" w:firstColumn="0" w:lastColumn="0" w:oddVBand="0" w:evenVBand="0" w:oddHBand="0" w:evenHBand="0" w:firstRowFirstColumn="0" w:firstRowLastColumn="0" w:lastRowFirstColumn="0" w:lastRowLastColumn="0"/>
              <w:rPr>
                <w:sz w:val="22"/>
              </w:rPr>
            </w:pPr>
            <w:r w:rsidRPr="000147DF">
              <w:rPr>
                <w:sz w:val="22"/>
              </w:rPr>
              <w:t>1,0 %</w:t>
            </w:r>
          </w:p>
        </w:tc>
      </w:tr>
      <w:tr w:rsidR="000147DF" w:rsidRPr="000147DF" w14:paraId="65B7169F" w14:textId="77777777" w:rsidTr="000147DF">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2834" w:type="dxa"/>
            <w:tcBorders>
              <w:top w:val="none" w:sz="0" w:space="0" w:color="auto"/>
              <w:bottom w:val="none" w:sz="0" w:space="0" w:color="auto"/>
            </w:tcBorders>
            <w:noWrap/>
            <w:hideMark/>
          </w:tcPr>
          <w:p w14:paraId="187547FD" w14:textId="77777777" w:rsidR="000147DF" w:rsidRPr="000147DF" w:rsidRDefault="000147DF" w:rsidP="000147DF">
            <w:pPr>
              <w:jc w:val="center"/>
              <w:rPr>
                <w:b w:val="0"/>
                <w:sz w:val="22"/>
              </w:rPr>
            </w:pPr>
            <w:r w:rsidRPr="000147DF">
              <w:rPr>
                <w:b w:val="0"/>
                <w:sz w:val="22"/>
              </w:rPr>
              <w:t xml:space="preserve">With distance control option </w:t>
            </w:r>
          </w:p>
        </w:tc>
        <w:tc>
          <w:tcPr>
            <w:tcW w:w="990" w:type="dxa"/>
            <w:tcBorders>
              <w:top w:val="none" w:sz="0" w:space="0" w:color="auto"/>
              <w:bottom w:val="none" w:sz="0" w:space="0" w:color="auto"/>
            </w:tcBorders>
            <w:noWrap/>
            <w:hideMark/>
          </w:tcPr>
          <w:p w14:paraId="665765B0" w14:textId="6BCFC77C" w:rsidR="000147DF" w:rsidRPr="000147DF" w:rsidRDefault="000147DF" w:rsidP="000147DF">
            <w:pPr>
              <w:jc w:val="center"/>
              <w:cnfStyle w:val="000000100000" w:firstRow="0" w:lastRow="0" w:firstColumn="0" w:lastColumn="0" w:oddVBand="0" w:evenVBand="0" w:oddHBand="1" w:evenHBand="0" w:firstRowFirstColumn="0" w:firstRowLastColumn="0" w:lastRowFirstColumn="0" w:lastRowLastColumn="0"/>
              <w:rPr>
                <w:sz w:val="22"/>
              </w:rPr>
            </w:pPr>
            <w:r w:rsidRPr="000147DF">
              <w:rPr>
                <w:sz w:val="22"/>
              </w:rPr>
              <w:t>0,0 %</w:t>
            </w:r>
          </w:p>
        </w:tc>
        <w:tc>
          <w:tcPr>
            <w:tcW w:w="991" w:type="dxa"/>
            <w:tcBorders>
              <w:top w:val="none" w:sz="0" w:space="0" w:color="auto"/>
              <w:bottom w:val="none" w:sz="0" w:space="0" w:color="auto"/>
            </w:tcBorders>
            <w:noWrap/>
            <w:hideMark/>
          </w:tcPr>
          <w:p w14:paraId="41E4FFCB" w14:textId="3037DD9C" w:rsidR="000147DF" w:rsidRPr="000147DF" w:rsidRDefault="000147DF" w:rsidP="000147DF">
            <w:pPr>
              <w:jc w:val="center"/>
              <w:cnfStyle w:val="000000100000" w:firstRow="0" w:lastRow="0" w:firstColumn="0" w:lastColumn="0" w:oddVBand="0" w:evenVBand="0" w:oddHBand="1" w:evenHBand="0" w:firstRowFirstColumn="0" w:firstRowLastColumn="0" w:lastRowFirstColumn="0" w:lastRowLastColumn="0"/>
              <w:rPr>
                <w:sz w:val="22"/>
              </w:rPr>
            </w:pPr>
            <w:r w:rsidRPr="000147DF">
              <w:rPr>
                <w:sz w:val="22"/>
              </w:rPr>
              <w:t>1,0 %</w:t>
            </w:r>
          </w:p>
        </w:tc>
        <w:tc>
          <w:tcPr>
            <w:tcW w:w="991" w:type="dxa"/>
            <w:tcBorders>
              <w:top w:val="none" w:sz="0" w:space="0" w:color="auto"/>
              <w:bottom w:val="none" w:sz="0" w:space="0" w:color="auto"/>
            </w:tcBorders>
            <w:noWrap/>
            <w:hideMark/>
          </w:tcPr>
          <w:p w14:paraId="0935F1A8" w14:textId="0C880A5B" w:rsidR="000147DF" w:rsidRPr="000147DF" w:rsidRDefault="000147DF" w:rsidP="000147DF">
            <w:pPr>
              <w:jc w:val="center"/>
              <w:cnfStyle w:val="000000100000" w:firstRow="0" w:lastRow="0" w:firstColumn="0" w:lastColumn="0" w:oddVBand="0" w:evenVBand="0" w:oddHBand="1" w:evenHBand="0" w:firstRowFirstColumn="0" w:firstRowLastColumn="0" w:lastRowFirstColumn="0" w:lastRowLastColumn="0"/>
              <w:rPr>
                <w:sz w:val="22"/>
              </w:rPr>
            </w:pPr>
            <w:r w:rsidRPr="000147DF">
              <w:rPr>
                <w:sz w:val="22"/>
              </w:rPr>
              <w:t>0,5 %</w:t>
            </w:r>
          </w:p>
        </w:tc>
        <w:tc>
          <w:tcPr>
            <w:tcW w:w="991" w:type="dxa"/>
            <w:tcBorders>
              <w:top w:val="none" w:sz="0" w:space="0" w:color="auto"/>
              <w:bottom w:val="none" w:sz="0" w:space="0" w:color="auto"/>
            </w:tcBorders>
            <w:noWrap/>
            <w:hideMark/>
          </w:tcPr>
          <w:p w14:paraId="75846483" w14:textId="454CFD01" w:rsidR="000147DF" w:rsidRPr="000147DF" w:rsidRDefault="000147DF" w:rsidP="000147DF">
            <w:pPr>
              <w:jc w:val="center"/>
              <w:cnfStyle w:val="000000100000" w:firstRow="0" w:lastRow="0" w:firstColumn="0" w:lastColumn="0" w:oddVBand="0" w:evenVBand="0" w:oddHBand="1" w:evenHBand="0" w:firstRowFirstColumn="0" w:firstRowLastColumn="0" w:lastRowFirstColumn="0" w:lastRowLastColumn="0"/>
              <w:rPr>
                <w:sz w:val="22"/>
              </w:rPr>
            </w:pPr>
            <w:r w:rsidRPr="000147DF">
              <w:rPr>
                <w:sz w:val="22"/>
              </w:rPr>
              <w:t>1,0 %</w:t>
            </w:r>
          </w:p>
        </w:tc>
        <w:tc>
          <w:tcPr>
            <w:tcW w:w="991" w:type="dxa"/>
            <w:tcBorders>
              <w:top w:val="none" w:sz="0" w:space="0" w:color="auto"/>
              <w:bottom w:val="none" w:sz="0" w:space="0" w:color="auto"/>
            </w:tcBorders>
            <w:noWrap/>
            <w:hideMark/>
          </w:tcPr>
          <w:p w14:paraId="7310F56A" w14:textId="2BD4B938" w:rsidR="000147DF" w:rsidRPr="000147DF" w:rsidRDefault="000147DF" w:rsidP="000147DF">
            <w:pPr>
              <w:jc w:val="center"/>
              <w:cnfStyle w:val="000000100000" w:firstRow="0" w:lastRow="0" w:firstColumn="0" w:lastColumn="0" w:oddVBand="0" w:evenVBand="0" w:oddHBand="1" w:evenHBand="0" w:firstRowFirstColumn="0" w:firstRowLastColumn="0" w:lastRowFirstColumn="0" w:lastRowLastColumn="0"/>
              <w:rPr>
                <w:sz w:val="22"/>
              </w:rPr>
            </w:pPr>
            <w:r w:rsidRPr="000147DF">
              <w:rPr>
                <w:sz w:val="22"/>
              </w:rPr>
              <w:t>0,0 %</w:t>
            </w:r>
          </w:p>
        </w:tc>
        <w:tc>
          <w:tcPr>
            <w:tcW w:w="1391" w:type="dxa"/>
            <w:tcBorders>
              <w:top w:val="none" w:sz="0" w:space="0" w:color="auto"/>
              <w:bottom w:val="none" w:sz="0" w:space="0" w:color="auto"/>
            </w:tcBorders>
            <w:noWrap/>
            <w:hideMark/>
          </w:tcPr>
          <w:p w14:paraId="6CA3DF36" w14:textId="5F45124F" w:rsidR="000147DF" w:rsidRPr="000147DF" w:rsidRDefault="000147DF" w:rsidP="000147DF">
            <w:pPr>
              <w:jc w:val="center"/>
              <w:cnfStyle w:val="000000100000" w:firstRow="0" w:lastRow="0" w:firstColumn="0" w:lastColumn="0" w:oddVBand="0" w:evenVBand="0" w:oddHBand="1" w:evenHBand="0" w:firstRowFirstColumn="0" w:firstRowLastColumn="0" w:lastRowFirstColumn="0" w:lastRowLastColumn="0"/>
              <w:rPr>
                <w:sz w:val="22"/>
              </w:rPr>
            </w:pPr>
            <w:r w:rsidRPr="000147DF">
              <w:rPr>
                <w:sz w:val="22"/>
              </w:rPr>
              <w:t>1,0 %</w:t>
            </w:r>
          </w:p>
        </w:tc>
      </w:tr>
      <w:tr w:rsidR="000147DF" w:rsidRPr="000147DF" w14:paraId="1C933ABE" w14:textId="77777777" w:rsidTr="000147DF">
        <w:trPr>
          <w:trHeight w:val="70"/>
        </w:trPr>
        <w:tc>
          <w:tcPr>
            <w:cnfStyle w:val="001000000000" w:firstRow="0" w:lastRow="0" w:firstColumn="1" w:lastColumn="0" w:oddVBand="0" w:evenVBand="0" w:oddHBand="0" w:evenHBand="0" w:firstRowFirstColumn="0" w:firstRowLastColumn="0" w:lastRowFirstColumn="0" w:lastRowLastColumn="0"/>
            <w:tcW w:w="2834" w:type="dxa"/>
            <w:noWrap/>
            <w:hideMark/>
          </w:tcPr>
          <w:p w14:paraId="3BEBC347" w14:textId="77777777" w:rsidR="000147DF" w:rsidRPr="000147DF" w:rsidRDefault="000147DF" w:rsidP="000147DF">
            <w:pPr>
              <w:jc w:val="center"/>
              <w:rPr>
                <w:b w:val="0"/>
                <w:sz w:val="22"/>
              </w:rPr>
            </w:pPr>
            <w:r w:rsidRPr="000147DF">
              <w:rPr>
                <w:b w:val="0"/>
                <w:sz w:val="22"/>
              </w:rPr>
              <w:t xml:space="preserve">With adaptive start control </w:t>
            </w:r>
          </w:p>
        </w:tc>
        <w:tc>
          <w:tcPr>
            <w:tcW w:w="990" w:type="dxa"/>
            <w:noWrap/>
            <w:hideMark/>
          </w:tcPr>
          <w:p w14:paraId="5EAF5BC0" w14:textId="32ECE0CD" w:rsidR="000147DF" w:rsidRPr="000147DF" w:rsidRDefault="000147DF" w:rsidP="000147DF">
            <w:pPr>
              <w:jc w:val="center"/>
              <w:cnfStyle w:val="000000000000" w:firstRow="0" w:lastRow="0" w:firstColumn="0" w:lastColumn="0" w:oddVBand="0" w:evenVBand="0" w:oddHBand="0" w:evenHBand="0" w:firstRowFirstColumn="0" w:firstRowLastColumn="0" w:lastRowFirstColumn="0" w:lastRowLastColumn="0"/>
              <w:rPr>
                <w:sz w:val="22"/>
              </w:rPr>
            </w:pPr>
            <w:r w:rsidRPr="000147DF">
              <w:rPr>
                <w:sz w:val="22"/>
              </w:rPr>
              <w:t>0,0 %</w:t>
            </w:r>
          </w:p>
        </w:tc>
        <w:tc>
          <w:tcPr>
            <w:tcW w:w="991" w:type="dxa"/>
            <w:noWrap/>
            <w:hideMark/>
          </w:tcPr>
          <w:p w14:paraId="085FB03E" w14:textId="203F0719" w:rsidR="000147DF" w:rsidRPr="000147DF" w:rsidRDefault="000147DF" w:rsidP="000147DF">
            <w:pPr>
              <w:jc w:val="center"/>
              <w:cnfStyle w:val="000000000000" w:firstRow="0" w:lastRow="0" w:firstColumn="0" w:lastColumn="0" w:oddVBand="0" w:evenVBand="0" w:oddHBand="0" w:evenHBand="0" w:firstRowFirstColumn="0" w:firstRowLastColumn="0" w:lastRowFirstColumn="0" w:lastRowLastColumn="0"/>
              <w:rPr>
                <w:sz w:val="22"/>
              </w:rPr>
            </w:pPr>
            <w:r w:rsidRPr="000147DF">
              <w:rPr>
                <w:sz w:val="22"/>
              </w:rPr>
              <w:t>1,0 %</w:t>
            </w:r>
          </w:p>
        </w:tc>
        <w:tc>
          <w:tcPr>
            <w:tcW w:w="991" w:type="dxa"/>
            <w:noWrap/>
            <w:hideMark/>
          </w:tcPr>
          <w:p w14:paraId="59F8E5AE" w14:textId="632EAEA8" w:rsidR="000147DF" w:rsidRPr="000147DF" w:rsidRDefault="000147DF" w:rsidP="000147DF">
            <w:pPr>
              <w:jc w:val="center"/>
              <w:cnfStyle w:val="000000000000" w:firstRow="0" w:lastRow="0" w:firstColumn="0" w:lastColumn="0" w:oddVBand="0" w:evenVBand="0" w:oddHBand="0" w:evenHBand="0" w:firstRowFirstColumn="0" w:firstRowLastColumn="0" w:lastRowFirstColumn="0" w:lastRowLastColumn="0"/>
              <w:rPr>
                <w:sz w:val="22"/>
              </w:rPr>
            </w:pPr>
            <w:r w:rsidRPr="000147DF">
              <w:rPr>
                <w:sz w:val="22"/>
              </w:rPr>
              <w:t>0,5 %</w:t>
            </w:r>
          </w:p>
        </w:tc>
        <w:tc>
          <w:tcPr>
            <w:tcW w:w="991" w:type="dxa"/>
            <w:noWrap/>
            <w:hideMark/>
          </w:tcPr>
          <w:p w14:paraId="3C903607" w14:textId="6C0549EA" w:rsidR="000147DF" w:rsidRPr="000147DF" w:rsidRDefault="000147DF" w:rsidP="000147DF">
            <w:pPr>
              <w:jc w:val="center"/>
              <w:cnfStyle w:val="000000000000" w:firstRow="0" w:lastRow="0" w:firstColumn="0" w:lastColumn="0" w:oddVBand="0" w:evenVBand="0" w:oddHBand="0" w:evenHBand="0" w:firstRowFirstColumn="0" w:firstRowLastColumn="0" w:lastRowFirstColumn="0" w:lastRowLastColumn="0"/>
              <w:rPr>
                <w:sz w:val="22"/>
              </w:rPr>
            </w:pPr>
            <w:r w:rsidRPr="000147DF">
              <w:rPr>
                <w:sz w:val="22"/>
              </w:rPr>
              <w:t>1,0 %</w:t>
            </w:r>
          </w:p>
        </w:tc>
        <w:tc>
          <w:tcPr>
            <w:tcW w:w="991" w:type="dxa"/>
            <w:noWrap/>
            <w:hideMark/>
          </w:tcPr>
          <w:p w14:paraId="03758104" w14:textId="4BE94CA3" w:rsidR="000147DF" w:rsidRPr="000147DF" w:rsidRDefault="000147DF" w:rsidP="000147DF">
            <w:pPr>
              <w:jc w:val="center"/>
              <w:cnfStyle w:val="000000000000" w:firstRow="0" w:lastRow="0" w:firstColumn="0" w:lastColumn="0" w:oddVBand="0" w:evenVBand="0" w:oddHBand="0" w:evenHBand="0" w:firstRowFirstColumn="0" w:firstRowLastColumn="0" w:lastRowFirstColumn="0" w:lastRowLastColumn="0"/>
              <w:rPr>
                <w:sz w:val="22"/>
              </w:rPr>
            </w:pPr>
            <w:r w:rsidRPr="000147DF">
              <w:rPr>
                <w:sz w:val="22"/>
              </w:rPr>
              <w:t>1,0 %</w:t>
            </w:r>
          </w:p>
        </w:tc>
        <w:tc>
          <w:tcPr>
            <w:tcW w:w="1391" w:type="dxa"/>
            <w:noWrap/>
            <w:hideMark/>
          </w:tcPr>
          <w:p w14:paraId="4DE31B18" w14:textId="3E83DF1F" w:rsidR="000147DF" w:rsidRPr="000147DF" w:rsidRDefault="000147DF" w:rsidP="000147DF">
            <w:pPr>
              <w:jc w:val="center"/>
              <w:cnfStyle w:val="000000000000" w:firstRow="0" w:lastRow="0" w:firstColumn="0" w:lastColumn="0" w:oddVBand="0" w:evenVBand="0" w:oddHBand="0" w:evenHBand="0" w:firstRowFirstColumn="0" w:firstRowLastColumn="0" w:lastRowFirstColumn="0" w:lastRowLastColumn="0"/>
              <w:rPr>
                <w:sz w:val="22"/>
              </w:rPr>
            </w:pPr>
            <w:r w:rsidRPr="000147DF">
              <w:rPr>
                <w:sz w:val="22"/>
              </w:rPr>
              <w:t>0,0 %</w:t>
            </w:r>
          </w:p>
        </w:tc>
      </w:tr>
      <w:tr w:rsidR="000147DF" w:rsidRPr="000147DF" w14:paraId="075F1866" w14:textId="77777777" w:rsidTr="000147DF">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2834" w:type="dxa"/>
            <w:tcBorders>
              <w:top w:val="none" w:sz="0" w:space="0" w:color="auto"/>
              <w:bottom w:val="none" w:sz="0" w:space="0" w:color="auto"/>
            </w:tcBorders>
            <w:noWrap/>
            <w:hideMark/>
          </w:tcPr>
          <w:p w14:paraId="57414863" w14:textId="77777777" w:rsidR="000147DF" w:rsidRPr="000147DF" w:rsidRDefault="000147DF" w:rsidP="000147DF">
            <w:pPr>
              <w:jc w:val="center"/>
              <w:rPr>
                <w:b w:val="0"/>
                <w:sz w:val="22"/>
              </w:rPr>
            </w:pPr>
            <w:r w:rsidRPr="000147DF">
              <w:rPr>
                <w:b w:val="0"/>
                <w:sz w:val="22"/>
              </w:rPr>
              <w:t>With working time limitation</w:t>
            </w:r>
          </w:p>
        </w:tc>
        <w:tc>
          <w:tcPr>
            <w:tcW w:w="990" w:type="dxa"/>
            <w:tcBorders>
              <w:top w:val="none" w:sz="0" w:space="0" w:color="auto"/>
              <w:bottom w:val="none" w:sz="0" w:space="0" w:color="auto"/>
            </w:tcBorders>
            <w:noWrap/>
            <w:hideMark/>
          </w:tcPr>
          <w:p w14:paraId="7E82F519" w14:textId="6800606E" w:rsidR="000147DF" w:rsidRPr="000147DF" w:rsidRDefault="000147DF" w:rsidP="000147DF">
            <w:pPr>
              <w:jc w:val="center"/>
              <w:cnfStyle w:val="000000100000" w:firstRow="0" w:lastRow="0" w:firstColumn="0" w:lastColumn="0" w:oddVBand="0" w:evenVBand="0" w:oddHBand="1" w:evenHBand="0" w:firstRowFirstColumn="0" w:firstRowLastColumn="0" w:lastRowFirstColumn="0" w:lastRowLastColumn="0"/>
              <w:rPr>
                <w:sz w:val="22"/>
              </w:rPr>
            </w:pPr>
            <w:r w:rsidRPr="000147DF">
              <w:rPr>
                <w:sz w:val="22"/>
              </w:rPr>
              <w:t>0,0 %</w:t>
            </w:r>
          </w:p>
        </w:tc>
        <w:tc>
          <w:tcPr>
            <w:tcW w:w="991" w:type="dxa"/>
            <w:tcBorders>
              <w:top w:val="none" w:sz="0" w:space="0" w:color="auto"/>
              <w:bottom w:val="none" w:sz="0" w:space="0" w:color="auto"/>
            </w:tcBorders>
            <w:noWrap/>
            <w:hideMark/>
          </w:tcPr>
          <w:p w14:paraId="0101B8F2" w14:textId="12D42C00" w:rsidR="000147DF" w:rsidRPr="000147DF" w:rsidRDefault="000147DF" w:rsidP="000147DF">
            <w:pPr>
              <w:jc w:val="center"/>
              <w:cnfStyle w:val="000000100000" w:firstRow="0" w:lastRow="0" w:firstColumn="0" w:lastColumn="0" w:oddVBand="0" w:evenVBand="0" w:oddHBand="1" w:evenHBand="0" w:firstRowFirstColumn="0" w:firstRowLastColumn="0" w:lastRowFirstColumn="0" w:lastRowLastColumn="0"/>
              <w:rPr>
                <w:sz w:val="22"/>
              </w:rPr>
            </w:pPr>
            <w:r w:rsidRPr="000147DF">
              <w:rPr>
                <w:sz w:val="22"/>
              </w:rPr>
              <w:t>0,0 %</w:t>
            </w:r>
          </w:p>
        </w:tc>
        <w:tc>
          <w:tcPr>
            <w:tcW w:w="991" w:type="dxa"/>
            <w:tcBorders>
              <w:top w:val="none" w:sz="0" w:space="0" w:color="auto"/>
              <w:bottom w:val="none" w:sz="0" w:space="0" w:color="auto"/>
            </w:tcBorders>
            <w:noWrap/>
            <w:hideMark/>
          </w:tcPr>
          <w:p w14:paraId="3A20CEF1" w14:textId="6A3B93B9" w:rsidR="000147DF" w:rsidRPr="000147DF" w:rsidRDefault="000147DF" w:rsidP="000147DF">
            <w:pPr>
              <w:jc w:val="center"/>
              <w:cnfStyle w:val="000000100000" w:firstRow="0" w:lastRow="0" w:firstColumn="0" w:lastColumn="0" w:oddVBand="0" w:evenVBand="0" w:oddHBand="1" w:evenHBand="0" w:firstRowFirstColumn="0" w:firstRowLastColumn="0" w:lastRowFirstColumn="0" w:lastRowLastColumn="0"/>
              <w:rPr>
                <w:sz w:val="22"/>
              </w:rPr>
            </w:pPr>
            <w:r w:rsidRPr="000147DF">
              <w:rPr>
                <w:sz w:val="22"/>
              </w:rPr>
              <w:t>0,0 %</w:t>
            </w:r>
          </w:p>
        </w:tc>
        <w:tc>
          <w:tcPr>
            <w:tcW w:w="991" w:type="dxa"/>
            <w:tcBorders>
              <w:top w:val="none" w:sz="0" w:space="0" w:color="auto"/>
              <w:bottom w:val="none" w:sz="0" w:space="0" w:color="auto"/>
            </w:tcBorders>
            <w:noWrap/>
            <w:hideMark/>
          </w:tcPr>
          <w:p w14:paraId="17AFC1C8" w14:textId="0EE84280" w:rsidR="000147DF" w:rsidRPr="000147DF" w:rsidRDefault="000147DF" w:rsidP="000147DF">
            <w:pPr>
              <w:jc w:val="center"/>
              <w:cnfStyle w:val="000000100000" w:firstRow="0" w:lastRow="0" w:firstColumn="0" w:lastColumn="0" w:oddVBand="0" w:evenVBand="0" w:oddHBand="1" w:evenHBand="0" w:firstRowFirstColumn="0" w:firstRowLastColumn="0" w:lastRowFirstColumn="0" w:lastRowLastColumn="0"/>
              <w:rPr>
                <w:sz w:val="22"/>
              </w:rPr>
            </w:pPr>
            <w:r w:rsidRPr="000147DF">
              <w:rPr>
                <w:sz w:val="22"/>
              </w:rPr>
              <w:t>0,0 %</w:t>
            </w:r>
          </w:p>
        </w:tc>
        <w:tc>
          <w:tcPr>
            <w:tcW w:w="991" w:type="dxa"/>
            <w:tcBorders>
              <w:top w:val="none" w:sz="0" w:space="0" w:color="auto"/>
              <w:bottom w:val="none" w:sz="0" w:space="0" w:color="auto"/>
            </w:tcBorders>
            <w:noWrap/>
            <w:hideMark/>
          </w:tcPr>
          <w:p w14:paraId="4CA9C682" w14:textId="04D3D0F1" w:rsidR="000147DF" w:rsidRPr="000147DF" w:rsidRDefault="000147DF" w:rsidP="000147DF">
            <w:pPr>
              <w:jc w:val="center"/>
              <w:cnfStyle w:val="000000100000" w:firstRow="0" w:lastRow="0" w:firstColumn="0" w:lastColumn="0" w:oddVBand="0" w:evenVBand="0" w:oddHBand="1" w:evenHBand="0" w:firstRowFirstColumn="0" w:firstRowLastColumn="0" w:lastRowFirstColumn="0" w:lastRowLastColumn="0"/>
              <w:rPr>
                <w:sz w:val="22"/>
              </w:rPr>
            </w:pPr>
            <w:r w:rsidRPr="000147DF">
              <w:rPr>
                <w:sz w:val="22"/>
              </w:rPr>
              <w:t>1,0 %</w:t>
            </w:r>
          </w:p>
        </w:tc>
        <w:tc>
          <w:tcPr>
            <w:tcW w:w="1391" w:type="dxa"/>
            <w:tcBorders>
              <w:top w:val="none" w:sz="0" w:space="0" w:color="auto"/>
              <w:bottom w:val="none" w:sz="0" w:space="0" w:color="auto"/>
            </w:tcBorders>
            <w:noWrap/>
            <w:hideMark/>
          </w:tcPr>
          <w:p w14:paraId="2831538D" w14:textId="14BDF858" w:rsidR="000147DF" w:rsidRPr="000147DF" w:rsidRDefault="000147DF" w:rsidP="000147DF">
            <w:pPr>
              <w:jc w:val="center"/>
              <w:cnfStyle w:val="000000100000" w:firstRow="0" w:lastRow="0" w:firstColumn="0" w:lastColumn="0" w:oddVBand="0" w:evenVBand="0" w:oddHBand="1" w:evenHBand="0" w:firstRowFirstColumn="0" w:firstRowLastColumn="0" w:lastRowFirstColumn="0" w:lastRowLastColumn="0"/>
              <w:rPr>
                <w:sz w:val="22"/>
              </w:rPr>
            </w:pPr>
            <w:r w:rsidRPr="000147DF">
              <w:rPr>
                <w:sz w:val="22"/>
              </w:rPr>
              <w:t>0,0 %</w:t>
            </w:r>
          </w:p>
        </w:tc>
      </w:tr>
      <w:tr w:rsidR="000147DF" w:rsidRPr="000147DF" w14:paraId="5CF584F9" w14:textId="77777777" w:rsidTr="000147DF">
        <w:trPr>
          <w:trHeight w:val="70"/>
        </w:trPr>
        <w:tc>
          <w:tcPr>
            <w:cnfStyle w:val="001000000000" w:firstRow="0" w:lastRow="0" w:firstColumn="1" w:lastColumn="0" w:oddVBand="0" w:evenVBand="0" w:oddHBand="0" w:evenHBand="0" w:firstRowFirstColumn="0" w:firstRowLastColumn="0" w:lastRowFirstColumn="0" w:lastRowLastColumn="0"/>
            <w:tcW w:w="2834" w:type="dxa"/>
            <w:noWrap/>
            <w:hideMark/>
          </w:tcPr>
          <w:p w14:paraId="6637C22A" w14:textId="77777777" w:rsidR="000147DF" w:rsidRPr="000147DF" w:rsidRDefault="000147DF" w:rsidP="000147DF">
            <w:pPr>
              <w:jc w:val="center"/>
              <w:rPr>
                <w:b w:val="0"/>
                <w:sz w:val="22"/>
              </w:rPr>
            </w:pPr>
            <w:r w:rsidRPr="000147DF">
              <w:rPr>
                <w:b w:val="0"/>
                <w:sz w:val="22"/>
              </w:rPr>
              <w:t xml:space="preserve">With black bulb sensor </w:t>
            </w:r>
          </w:p>
        </w:tc>
        <w:tc>
          <w:tcPr>
            <w:tcW w:w="990" w:type="dxa"/>
            <w:noWrap/>
            <w:hideMark/>
          </w:tcPr>
          <w:p w14:paraId="0420BF8B" w14:textId="4792AB36" w:rsidR="000147DF" w:rsidRPr="000147DF" w:rsidRDefault="000147DF" w:rsidP="000147DF">
            <w:pPr>
              <w:jc w:val="center"/>
              <w:cnfStyle w:val="000000000000" w:firstRow="0" w:lastRow="0" w:firstColumn="0" w:lastColumn="0" w:oddVBand="0" w:evenVBand="0" w:oddHBand="0" w:evenHBand="0" w:firstRowFirstColumn="0" w:firstRowLastColumn="0" w:lastRowFirstColumn="0" w:lastRowLastColumn="0"/>
              <w:rPr>
                <w:sz w:val="22"/>
              </w:rPr>
            </w:pPr>
            <w:r w:rsidRPr="000147DF">
              <w:rPr>
                <w:sz w:val="22"/>
              </w:rPr>
              <w:t>0,0 %</w:t>
            </w:r>
          </w:p>
        </w:tc>
        <w:tc>
          <w:tcPr>
            <w:tcW w:w="991" w:type="dxa"/>
            <w:noWrap/>
            <w:hideMark/>
          </w:tcPr>
          <w:p w14:paraId="7760FBC1" w14:textId="76715B2C" w:rsidR="000147DF" w:rsidRPr="000147DF" w:rsidRDefault="000147DF" w:rsidP="000147DF">
            <w:pPr>
              <w:jc w:val="center"/>
              <w:cnfStyle w:val="000000000000" w:firstRow="0" w:lastRow="0" w:firstColumn="0" w:lastColumn="0" w:oddVBand="0" w:evenVBand="0" w:oddHBand="0" w:evenHBand="0" w:firstRowFirstColumn="0" w:firstRowLastColumn="0" w:lastRowFirstColumn="0" w:lastRowLastColumn="0"/>
              <w:rPr>
                <w:sz w:val="22"/>
              </w:rPr>
            </w:pPr>
            <w:r w:rsidRPr="000147DF">
              <w:rPr>
                <w:sz w:val="22"/>
              </w:rPr>
              <w:t>0,0 %</w:t>
            </w:r>
          </w:p>
        </w:tc>
        <w:tc>
          <w:tcPr>
            <w:tcW w:w="991" w:type="dxa"/>
            <w:noWrap/>
            <w:hideMark/>
          </w:tcPr>
          <w:p w14:paraId="5EA70729" w14:textId="2D3ADE39" w:rsidR="000147DF" w:rsidRPr="000147DF" w:rsidRDefault="000147DF" w:rsidP="000147DF">
            <w:pPr>
              <w:jc w:val="center"/>
              <w:cnfStyle w:val="000000000000" w:firstRow="0" w:lastRow="0" w:firstColumn="0" w:lastColumn="0" w:oddVBand="0" w:evenVBand="0" w:oddHBand="0" w:evenHBand="0" w:firstRowFirstColumn="0" w:firstRowLastColumn="0" w:lastRowFirstColumn="0" w:lastRowLastColumn="0"/>
              <w:rPr>
                <w:sz w:val="22"/>
              </w:rPr>
            </w:pPr>
            <w:r w:rsidRPr="000147DF">
              <w:rPr>
                <w:sz w:val="22"/>
              </w:rPr>
              <w:t>0,0 %</w:t>
            </w:r>
          </w:p>
        </w:tc>
        <w:tc>
          <w:tcPr>
            <w:tcW w:w="991" w:type="dxa"/>
            <w:noWrap/>
            <w:hideMark/>
          </w:tcPr>
          <w:p w14:paraId="48CA8709" w14:textId="65D93C8E" w:rsidR="000147DF" w:rsidRPr="000147DF" w:rsidRDefault="000147DF" w:rsidP="000147DF">
            <w:pPr>
              <w:jc w:val="center"/>
              <w:cnfStyle w:val="000000000000" w:firstRow="0" w:lastRow="0" w:firstColumn="0" w:lastColumn="0" w:oddVBand="0" w:evenVBand="0" w:oddHBand="0" w:evenHBand="0" w:firstRowFirstColumn="0" w:firstRowLastColumn="0" w:lastRowFirstColumn="0" w:lastRowLastColumn="0"/>
              <w:rPr>
                <w:sz w:val="22"/>
              </w:rPr>
            </w:pPr>
            <w:r w:rsidRPr="000147DF">
              <w:rPr>
                <w:sz w:val="22"/>
              </w:rPr>
              <w:t>0,0 %</w:t>
            </w:r>
          </w:p>
        </w:tc>
        <w:tc>
          <w:tcPr>
            <w:tcW w:w="991" w:type="dxa"/>
            <w:noWrap/>
            <w:hideMark/>
          </w:tcPr>
          <w:p w14:paraId="1CAB47A0" w14:textId="46CC60A6" w:rsidR="000147DF" w:rsidRPr="000147DF" w:rsidRDefault="000147DF" w:rsidP="000147DF">
            <w:pPr>
              <w:jc w:val="center"/>
              <w:cnfStyle w:val="000000000000" w:firstRow="0" w:lastRow="0" w:firstColumn="0" w:lastColumn="0" w:oddVBand="0" w:evenVBand="0" w:oddHBand="0" w:evenHBand="0" w:firstRowFirstColumn="0" w:firstRowLastColumn="0" w:lastRowFirstColumn="0" w:lastRowLastColumn="0"/>
              <w:rPr>
                <w:sz w:val="22"/>
              </w:rPr>
            </w:pPr>
            <w:r w:rsidRPr="000147DF">
              <w:rPr>
                <w:sz w:val="22"/>
              </w:rPr>
              <w:t>0,0 %</w:t>
            </w:r>
          </w:p>
        </w:tc>
        <w:tc>
          <w:tcPr>
            <w:tcW w:w="1391" w:type="dxa"/>
            <w:noWrap/>
            <w:hideMark/>
          </w:tcPr>
          <w:p w14:paraId="71E7996B" w14:textId="57AE2D00" w:rsidR="000147DF" w:rsidRPr="000147DF" w:rsidRDefault="000147DF" w:rsidP="000147DF">
            <w:pPr>
              <w:jc w:val="center"/>
              <w:cnfStyle w:val="000000000000" w:firstRow="0" w:lastRow="0" w:firstColumn="0" w:lastColumn="0" w:oddVBand="0" w:evenVBand="0" w:oddHBand="0" w:evenHBand="0" w:firstRowFirstColumn="0" w:firstRowLastColumn="0" w:lastRowFirstColumn="0" w:lastRowLastColumn="0"/>
              <w:rPr>
                <w:sz w:val="22"/>
              </w:rPr>
            </w:pPr>
            <w:r w:rsidRPr="000147DF">
              <w:rPr>
                <w:sz w:val="22"/>
              </w:rPr>
              <w:t>0,0 %</w:t>
            </w:r>
          </w:p>
        </w:tc>
      </w:tr>
    </w:tbl>
    <w:p w14:paraId="46E424B9" w14:textId="77777777" w:rsidR="000147DF" w:rsidRDefault="000147DF" w:rsidP="000147DF">
      <w:pPr>
        <w:pStyle w:val="Text2"/>
      </w:pPr>
      <w:r>
        <w:t>’;</w:t>
      </w:r>
    </w:p>
    <w:p w14:paraId="5FEDD593" w14:textId="32CBF856" w:rsidR="00F43F07" w:rsidRDefault="003973E9" w:rsidP="00625B2F">
      <w:pPr>
        <w:pStyle w:val="Point1letter"/>
      </w:pPr>
      <w:r>
        <w:t>p</w:t>
      </w:r>
      <w:r w:rsidR="000147DF">
        <w:t>oint 5(f) is replaced by the following:</w:t>
      </w:r>
    </w:p>
    <w:p w14:paraId="6ABFAEA6" w14:textId="08F258B3" w:rsidR="000147DF" w:rsidRDefault="00EB2BE4" w:rsidP="00EB2BE4">
      <w:pPr>
        <w:pStyle w:val="Point2letter"/>
        <w:numPr>
          <w:ilvl w:val="0"/>
          <w:numId w:val="0"/>
        </w:numPr>
        <w:ind w:left="1984" w:hanging="567"/>
      </w:pPr>
      <w:r>
        <w:t>‘(</w:t>
      </w:r>
      <w:proofErr w:type="gramStart"/>
      <w:r>
        <w:t>f</w:t>
      </w:r>
      <w:proofErr w:type="gramEnd"/>
      <w:r>
        <w:t>)</w:t>
      </w:r>
      <w:r>
        <w:tab/>
      </w:r>
      <w:r w:rsidR="000147DF">
        <w:t xml:space="preserve">The auxiliary electricity use correction factor </w:t>
      </w:r>
      <w:r w:rsidR="000147DF" w:rsidRPr="000147DF">
        <w:rPr>
          <w:i/>
          <w:iCs/>
        </w:rPr>
        <w:t>F</w:t>
      </w:r>
      <w:r w:rsidR="000147DF">
        <w:t xml:space="preserve">(4) is calculated as: </w:t>
      </w:r>
    </w:p>
    <w:p w14:paraId="1DB0F015" w14:textId="77777777" w:rsidR="000147DF" w:rsidRDefault="000147DF" w:rsidP="000147DF">
      <w:pPr>
        <w:pStyle w:val="Text3"/>
      </w:pPr>
      <w:r>
        <w:t xml:space="preserve">This correction factor takes into account the auxiliary electricity use during on-mode and standby-mode operation. </w:t>
      </w:r>
    </w:p>
    <w:p w14:paraId="02F00487" w14:textId="77777777" w:rsidR="000147DF" w:rsidRDefault="000147DF" w:rsidP="000147DF">
      <w:pPr>
        <w:pStyle w:val="Text3"/>
      </w:pPr>
      <w:r>
        <w:t xml:space="preserve">For electric local space heaters the correction is calculated as follows: </w:t>
      </w:r>
    </w:p>
    <w:p w14:paraId="7E21FBFA" w14:textId="77777777" w:rsidR="000147DF" w:rsidRDefault="000147DF" w:rsidP="000147DF">
      <w:pPr>
        <w:pStyle w:val="Text3"/>
      </w:pPr>
      <w:r>
        <w:t xml:space="preserve">The auxiliary electricity use correction factor </w:t>
      </w:r>
      <w:proofErr w:type="gramStart"/>
      <w:r>
        <w:rPr>
          <w:i/>
          <w:iCs/>
        </w:rPr>
        <w:t>F</w:t>
      </w:r>
      <w:r>
        <w:t>(</w:t>
      </w:r>
      <w:proofErr w:type="gramEnd"/>
      <w:r>
        <w:t xml:space="preserve">4) is calculated as: </w:t>
      </w:r>
    </w:p>
    <w:p w14:paraId="33767291" w14:textId="304E2BA2" w:rsidR="000147DF" w:rsidRPr="000147DF" w:rsidRDefault="000147DF" w:rsidP="00F63D89">
      <w:pPr>
        <w:pStyle w:val="Text3"/>
        <w:jc w:val="center"/>
        <w:rPr>
          <w:rFonts w:ascii="Symbol" w:hAnsi="Symbol"/>
          <w:iCs/>
        </w:rPr>
      </w:pPr>
      <w:proofErr w:type="gramStart"/>
      <w:r>
        <w:rPr>
          <w:i/>
          <w:iCs/>
        </w:rPr>
        <w:t>F</w:t>
      </w:r>
      <w:r>
        <w:rPr>
          <w:iCs/>
        </w:rPr>
        <w:t>(</w:t>
      </w:r>
      <w:proofErr w:type="gramEnd"/>
      <w:r>
        <w:rPr>
          <w:iCs/>
        </w:rPr>
        <w:t xml:space="preserve">4) = CC </w:t>
      </w:r>
      <w:r w:rsidR="00471E5F">
        <w:t>·</w:t>
      </w:r>
      <w:r>
        <w:t xml:space="preserve"> </w:t>
      </w:r>
      <w:r>
        <w:rPr>
          <w:i/>
          <w:iCs/>
        </w:rPr>
        <w:t>α</w:t>
      </w:r>
      <w:r>
        <w:rPr>
          <w:rFonts w:ascii="Symbol" w:hAnsi="Symbol"/>
        </w:rPr>
        <w:t></w:t>
      </w:r>
      <w:r w:rsidR="00471E5F">
        <w:t>·</w:t>
      </w:r>
      <w:r>
        <w:t xml:space="preserve"> (</w:t>
      </w:r>
      <w:proofErr w:type="spellStart"/>
      <w:r w:rsidRPr="00F63D89">
        <w:rPr>
          <w:i/>
        </w:rPr>
        <w:t>el</w:t>
      </w:r>
      <w:r w:rsidRPr="00F63D89">
        <w:rPr>
          <w:i/>
          <w:vertAlign w:val="subscript"/>
        </w:rPr>
        <w:t>sb</w:t>
      </w:r>
      <w:proofErr w:type="spellEnd"/>
      <w:r>
        <w:t xml:space="preserve"> + </w:t>
      </w:r>
      <w:proofErr w:type="spellStart"/>
      <w:r w:rsidRPr="00F63D89">
        <w:rPr>
          <w:i/>
        </w:rPr>
        <w:t>el</w:t>
      </w:r>
      <w:r w:rsidRPr="00F63D89">
        <w:rPr>
          <w:i/>
          <w:vertAlign w:val="subscript"/>
        </w:rPr>
        <w:t>idle</w:t>
      </w:r>
      <w:proofErr w:type="spellEnd"/>
      <w:r>
        <w:t xml:space="preserve"> + </w:t>
      </w:r>
      <w:proofErr w:type="spellStart"/>
      <w:r w:rsidRPr="00F63D89">
        <w:rPr>
          <w:i/>
        </w:rPr>
        <w:t>el</w:t>
      </w:r>
      <w:r w:rsidRPr="00F63D89">
        <w:rPr>
          <w:i/>
          <w:vertAlign w:val="subscript"/>
        </w:rPr>
        <w:t>off</w:t>
      </w:r>
      <w:proofErr w:type="spellEnd"/>
      <w:r>
        <w:t xml:space="preserve">) </w:t>
      </w:r>
      <w:r w:rsidR="00471E5F">
        <w:t>·</w:t>
      </w:r>
      <w:r>
        <w:t xml:space="preserve"> 100 / </w:t>
      </w:r>
      <w:proofErr w:type="spellStart"/>
      <w:r w:rsidRPr="000147DF">
        <w:rPr>
          <w:i/>
        </w:rPr>
        <w:t>P</w:t>
      </w:r>
      <w:r w:rsidRPr="000147DF">
        <w:rPr>
          <w:i/>
          <w:vertAlign w:val="subscript"/>
        </w:rPr>
        <w:t>nom</w:t>
      </w:r>
      <w:proofErr w:type="spellEnd"/>
    </w:p>
    <w:p w14:paraId="3846056B" w14:textId="77777777" w:rsidR="000147DF" w:rsidRDefault="000147DF" w:rsidP="000147DF">
      <w:pPr>
        <w:pStyle w:val="Text3"/>
      </w:pPr>
      <w:r>
        <w:t>Where:</w:t>
      </w:r>
    </w:p>
    <w:p w14:paraId="500B2F33" w14:textId="77777777" w:rsidR="000147DF" w:rsidRDefault="000147DF" w:rsidP="000147DF">
      <w:pPr>
        <w:pStyle w:val="Tiret3"/>
      </w:pPr>
      <w:proofErr w:type="spellStart"/>
      <w:r>
        <w:rPr>
          <w:i/>
          <w:iCs/>
        </w:rPr>
        <w:t>el</w:t>
      </w:r>
      <w:r>
        <w:rPr>
          <w:i/>
          <w:iCs/>
          <w:sz w:val="11"/>
          <w:szCs w:val="11"/>
        </w:rPr>
        <w:t>sb</w:t>
      </w:r>
      <w:proofErr w:type="spellEnd"/>
      <w:r>
        <w:rPr>
          <w:i/>
          <w:iCs/>
          <w:sz w:val="11"/>
          <w:szCs w:val="11"/>
        </w:rPr>
        <w:t xml:space="preserve"> </w:t>
      </w:r>
      <w:r>
        <w:t xml:space="preserve">is the standby electric power consumption, expressed in kW; </w:t>
      </w:r>
    </w:p>
    <w:p w14:paraId="4ABC9D50" w14:textId="77777777" w:rsidR="000147DF" w:rsidRDefault="000147DF" w:rsidP="000147DF">
      <w:pPr>
        <w:pStyle w:val="Tiret3"/>
      </w:pPr>
      <w:proofErr w:type="spellStart"/>
      <w:r>
        <w:rPr>
          <w:i/>
          <w:iCs/>
        </w:rPr>
        <w:t>P</w:t>
      </w:r>
      <w:r>
        <w:rPr>
          <w:i/>
          <w:iCs/>
          <w:sz w:val="11"/>
          <w:szCs w:val="11"/>
        </w:rPr>
        <w:t>nom</w:t>
      </w:r>
      <w:proofErr w:type="spellEnd"/>
      <w:r>
        <w:rPr>
          <w:i/>
          <w:iCs/>
          <w:sz w:val="11"/>
          <w:szCs w:val="11"/>
        </w:rPr>
        <w:t xml:space="preserve"> </w:t>
      </w:r>
      <w:r>
        <w:t xml:space="preserve">is the nominal heat output of the product, expressed in kW; </w:t>
      </w:r>
    </w:p>
    <w:p w14:paraId="7CCBDFBC" w14:textId="531C1FE6" w:rsidR="00F63D89" w:rsidRDefault="000147DF" w:rsidP="000147DF">
      <w:pPr>
        <w:pStyle w:val="Tiret3"/>
      </w:pPr>
      <w:r>
        <w:rPr>
          <w:i/>
          <w:iCs/>
        </w:rPr>
        <w:t xml:space="preserve">α </w:t>
      </w:r>
      <w:r>
        <w:t xml:space="preserve">is a factor taking into account </w:t>
      </w:r>
      <w:r w:rsidR="00F63D89">
        <w:t>the electricity during standby-mode, off-mode and idle-mode:</w:t>
      </w:r>
    </w:p>
    <w:p w14:paraId="2E096D66" w14:textId="670A7372" w:rsidR="00F63D89" w:rsidRDefault="000147DF" w:rsidP="00F63D89">
      <w:pPr>
        <w:pStyle w:val="Tiret4"/>
      </w:pPr>
      <w:r>
        <w:t xml:space="preserve">if the product complies with the </w:t>
      </w:r>
      <w:r w:rsidR="00F63D89">
        <w:t>following limit values, α is by default 0 (zero):</w:t>
      </w:r>
    </w:p>
    <w:p w14:paraId="5F6B4F33" w14:textId="6E90F32E" w:rsidR="00F63D89" w:rsidRPr="00036C46" w:rsidRDefault="00F63D89" w:rsidP="00F63D89">
      <w:pPr>
        <w:pStyle w:val="Text5"/>
        <w:rPr>
          <w:lang w:val="pl-PL"/>
        </w:rPr>
      </w:pPr>
      <w:proofErr w:type="spellStart"/>
      <w:proofErr w:type="gramStart"/>
      <w:r w:rsidRPr="00036C46">
        <w:rPr>
          <w:i/>
          <w:lang w:val="pl-PL"/>
        </w:rPr>
        <w:t>el</w:t>
      </w:r>
      <w:r w:rsidRPr="00036C46">
        <w:rPr>
          <w:i/>
          <w:vertAlign w:val="subscript"/>
          <w:lang w:val="pl-PL"/>
        </w:rPr>
        <w:t>off</w:t>
      </w:r>
      <w:proofErr w:type="spellEnd"/>
      <w:proofErr w:type="gramEnd"/>
      <w:r w:rsidRPr="00036C46">
        <w:rPr>
          <w:lang w:val="pl-PL"/>
        </w:rPr>
        <w:t xml:space="preserve"> ≤ 0,2 W</w:t>
      </w:r>
    </w:p>
    <w:p w14:paraId="49CE13A3" w14:textId="53E5B37F" w:rsidR="00F63D89" w:rsidRPr="00036C46" w:rsidRDefault="00F63D89" w:rsidP="00F63D89">
      <w:pPr>
        <w:pStyle w:val="Text5"/>
        <w:rPr>
          <w:lang w:val="pl-PL"/>
        </w:rPr>
      </w:pPr>
      <w:proofErr w:type="spellStart"/>
      <w:proofErr w:type="gramStart"/>
      <w:r w:rsidRPr="00036C46">
        <w:rPr>
          <w:i/>
          <w:lang w:val="pl-PL"/>
        </w:rPr>
        <w:t>el</w:t>
      </w:r>
      <w:r w:rsidRPr="00036C46">
        <w:rPr>
          <w:i/>
          <w:vertAlign w:val="subscript"/>
          <w:lang w:val="pl-PL"/>
        </w:rPr>
        <w:t>sb</w:t>
      </w:r>
      <w:proofErr w:type="spellEnd"/>
      <w:proofErr w:type="gramEnd"/>
      <w:r w:rsidRPr="00036C46">
        <w:rPr>
          <w:lang w:val="pl-PL"/>
        </w:rPr>
        <w:t xml:space="preserve"> ≤ 0,5 W</w:t>
      </w:r>
    </w:p>
    <w:p w14:paraId="2E23EC20" w14:textId="29CCDF67" w:rsidR="00F63D89" w:rsidRPr="00036C46" w:rsidRDefault="00F63D89" w:rsidP="00F63D89">
      <w:pPr>
        <w:pStyle w:val="Text5"/>
        <w:rPr>
          <w:lang w:val="pl-PL"/>
        </w:rPr>
      </w:pPr>
      <w:proofErr w:type="spellStart"/>
      <w:proofErr w:type="gramStart"/>
      <w:r w:rsidRPr="00036C46">
        <w:rPr>
          <w:i/>
          <w:lang w:val="pl-PL"/>
        </w:rPr>
        <w:t>el</w:t>
      </w:r>
      <w:r w:rsidRPr="00036C46">
        <w:rPr>
          <w:i/>
          <w:vertAlign w:val="subscript"/>
          <w:lang w:val="pl-PL"/>
        </w:rPr>
        <w:t>idle</w:t>
      </w:r>
      <w:proofErr w:type="spellEnd"/>
      <w:proofErr w:type="gramEnd"/>
      <w:r w:rsidRPr="00036C46">
        <w:rPr>
          <w:lang w:val="pl-PL"/>
        </w:rPr>
        <w:t xml:space="preserve"> ≤ 1,0 W</w:t>
      </w:r>
    </w:p>
    <w:p w14:paraId="20F280F6" w14:textId="5A7F0036" w:rsidR="00F63D89" w:rsidRDefault="000147DF" w:rsidP="00F63D89">
      <w:pPr>
        <w:pStyle w:val="Tiret4"/>
      </w:pPr>
      <w:proofErr w:type="gramStart"/>
      <w:r>
        <w:t>if</w:t>
      </w:r>
      <w:proofErr w:type="gramEnd"/>
      <w:r>
        <w:t xml:space="preserve"> the product does not comply with the limit values</w:t>
      </w:r>
      <w:r w:rsidR="00F63D89">
        <w:t xml:space="preserve"> above</w:t>
      </w:r>
      <w:r>
        <w:t xml:space="preserve">, α is by default 1,3. </w:t>
      </w:r>
    </w:p>
    <w:p w14:paraId="4D69B2F3" w14:textId="77777777" w:rsidR="00F63D89" w:rsidRDefault="000147DF" w:rsidP="00F63D89">
      <w:pPr>
        <w:pStyle w:val="Text3"/>
      </w:pPr>
      <w:r>
        <w:t xml:space="preserve">For local space heaters using gaseous or liquid fuels the auxiliary electricity use correction is calculated as follows: </w:t>
      </w:r>
    </w:p>
    <w:p w14:paraId="64D2C0E0" w14:textId="2886F77F" w:rsidR="00F63D89" w:rsidRPr="00036C46" w:rsidRDefault="00F63D89" w:rsidP="00F63D89">
      <w:pPr>
        <w:pStyle w:val="Text3"/>
        <w:jc w:val="center"/>
        <w:rPr>
          <w:i/>
          <w:iCs/>
          <w:lang w:val="da-DK"/>
        </w:rPr>
      </w:pPr>
      <w:r w:rsidRPr="00036C46">
        <w:rPr>
          <w:i/>
          <w:iCs/>
          <w:lang w:val="da-DK"/>
        </w:rPr>
        <w:t xml:space="preserve">F(4) = CC </w:t>
      </w:r>
      <w:r w:rsidR="00471E5F" w:rsidRPr="00036C46">
        <w:rPr>
          <w:lang w:val="da-DK"/>
        </w:rPr>
        <w:t>·</w:t>
      </w:r>
      <w:r w:rsidRPr="00036C46">
        <w:rPr>
          <w:lang w:val="da-DK"/>
        </w:rPr>
        <w:t xml:space="preserve"> (</w:t>
      </w:r>
      <w:r w:rsidRPr="00036C46">
        <w:rPr>
          <w:iCs/>
          <w:lang w:val="da-DK"/>
        </w:rPr>
        <w:t>0,2</w:t>
      </w:r>
      <w:r w:rsidRPr="00036C46">
        <w:rPr>
          <w:i/>
          <w:iCs/>
          <w:lang w:val="da-DK"/>
        </w:rPr>
        <w:t xml:space="preserve"> </w:t>
      </w:r>
      <w:r w:rsidR="00471E5F" w:rsidRPr="00036C46">
        <w:rPr>
          <w:lang w:val="da-DK"/>
        </w:rPr>
        <w:t>·</w:t>
      </w:r>
      <w:r w:rsidRPr="00036C46">
        <w:rPr>
          <w:lang w:val="da-DK"/>
        </w:rPr>
        <w:t xml:space="preserve"> </w:t>
      </w:r>
      <w:proofErr w:type="spellStart"/>
      <w:r w:rsidRPr="00036C46">
        <w:rPr>
          <w:i/>
          <w:lang w:val="da-DK"/>
        </w:rPr>
        <w:t>el</w:t>
      </w:r>
      <w:r w:rsidRPr="00036C46">
        <w:rPr>
          <w:i/>
          <w:vertAlign w:val="subscript"/>
          <w:lang w:val="da-DK"/>
        </w:rPr>
        <w:t>max</w:t>
      </w:r>
      <w:proofErr w:type="spellEnd"/>
      <w:r w:rsidRPr="00036C46">
        <w:rPr>
          <w:lang w:val="da-DK"/>
        </w:rPr>
        <w:t xml:space="preserve"> + 0,8 </w:t>
      </w:r>
      <w:r w:rsidR="00471E5F" w:rsidRPr="00036C46">
        <w:rPr>
          <w:lang w:val="da-DK"/>
        </w:rPr>
        <w:t>·</w:t>
      </w:r>
      <w:r w:rsidRPr="00036C46">
        <w:rPr>
          <w:lang w:val="da-DK"/>
        </w:rPr>
        <w:t xml:space="preserve"> </w:t>
      </w:r>
      <w:proofErr w:type="spellStart"/>
      <w:r w:rsidRPr="00036C46">
        <w:rPr>
          <w:i/>
          <w:lang w:val="da-DK"/>
        </w:rPr>
        <w:t>el</w:t>
      </w:r>
      <w:r w:rsidRPr="00036C46">
        <w:rPr>
          <w:i/>
          <w:vertAlign w:val="subscript"/>
          <w:lang w:val="da-DK"/>
        </w:rPr>
        <w:t>min</w:t>
      </w:r>
      <w:proofErr w:type="spellEnd"/>
      <w:r w:rsidRPr="00036C46">
        <w:rPr>
          <w:lang w:val="da-DK"/>
        </w:rPr>
        <w:t xml:space="preserve"> + 1,3 </w:t>
      </w:r>
      <w:r w:rsidR="00471E5F" w:rsidRPr="00036C46">
        <w:rPr>
          <w:lang w:val="da-DK"/>
        </w:rPr>
        <w:t>·</w:t>
      </w:r>
      <w:r w:rsidRPr="00036C46">
        <w:rPr>
          <w:lang w:val="da-DK"/>
        </w:rPr>
        <w:t xml:space="preserve"> </w:t>
      </w:r>
      <w:proofErr w:type="spellStart"/>
      <w:r w:rsidRPr="00036C46">
        <w:rPr>
          <w:i/>
          <w:lang w:val="da-DK"/>
        </w:rPr>
        <w:t>el</w:t>
      </w:r>
      <w:r w:rsidRPr="00036C46">
        <w:rPr>
          <w:i/>
          <w:vertAlign w:val="subscript"/>
          <w:lang w:val="da-DK"/>
        </w:rPr>
        <w:t>sb</w:t>
      </w:r>
      <w:proofErr w:type="spellEnd"/>
      <w:r w:rsidRPr="00036C46">
        <w:rPr>
          <w:lang w:val="da-DK"/>
        </w:rPr>
        <w:t xml:space="preserve">) </w:t>
      </w:r>
      <w:r w:rsidR="00471E5F" w:rsidRPr="00036C46">
        <w:rPr>
          <w:lang w:val="da-DK"/>
        </w:rPr>
        <w:t>·</w:t>
      </w:r>
      <w:r w:rsidRPr="00036C46">
        <w:rPr>
          <w:lang w:val="da-DK"/>
        </w:rPr>
        <w:t xml:space="preserve"> 100 / </w:t>
      </w:r>
      <w:proofErr w:type="spellStart"/>
      <w:r w:rsidRPr="00036C46">
        <w:rPr>
          <w:i/>
          <w:lang w:val="da-DK"/>
        </w:rPr>
        <w:t>P</w:t>
      </w:r>
      <w:r w:rsidRPr="00036C46">
        <w:rPr>
          <w:i/>
          <w:vertAlign w:val="subscript"/>
          <w:lang w:val="da-DK"/>
        </w:rPr>
        <w:t>nom</w:t>
      </w:r>
      <w:proofErr w:type="spellEnd"/>
    </w:p>
    <w:p w14:paraId="32A736EB" w14:textId="77777777" w:rsidR="00F63D89" w:rsidRDefault="000147DF" w:rsidP="00F63D89">
      <w:pPr>
        <w:pStyle w:val="Text3"/>
      </w:pPr>
      <w:r>
        <w:t xml:space="preserve">Where: </w:t>
      </w:r>
    </w:p>
    <w:p w14:paraId="1B44CA78" w14:textId="77777777" w:rsidR="00F63D89" w:rsidRDefault="000147DF" w:rsidP="00F63D89">
      <w:pPr>
        <w:pStyle w:val="Tiret3"/>
      </w:pPr>
      <w:proofErr w:type="spellStart"/>
      <w:r w:rsidRPr="005639FA">
        <w:rPr>
          <w:i/>
          <w:iCs/>
          <w:szCs w:val="24"/>
        </w:rPr>
        <w:t>el</w:t>
      </w:r>
      <w:r w:rsidRPr="005639FA">
        <w:rPr>
          <w:i/>
          <w:iCs/>
          <w:szCs w:val="24"/>
          <w:vertAlign w:val="subscript"/>
        </w:rPr>
        <w:t>max</w:t>
      </w:r>
      <w:proofErr w:type="spellEnd"/>
      <w:r>
        <w:rPr>
          <w:i/>
          <w:iCs/>
          <w:sz w:val="11"/>
          <w:szCs w:val="11"/>
        </w:rPr>
        <w:t xml:space="preserve"> </w:t>
      </w:r>
      <w:r>
        <w:t xml:space="preserve">is the electric power consumption at nominal heat output, expressed in kW; </w:t>
      </w:r>
    </w:p>
    <w:p w14:paraId="27FD9939" w14:textId="77777777" w:rsidR="00EB2BE4" w:rsidRDefault="000147DF" w:rsidP="00F63D89">
      <w:pPr>
        <w:pStyle w:val="Tiret3"/>
      </w:pPr>
      <w:proofErr w:type="spellStart"/>
      <w:proofErr w:type="gramStart"/>
      <w:r w:rsidRPr="005639FA">
        <w:rPr>
          <w:i/>
          <w:iCs/>
          <w:szCs w:val="24"/>
        </w:rPr>
        <w:t>el</w:t>
      </w:r>
      <w:r w:rsidRPr="005639FA">
        <w:rPr>
          <w:i/>
          <w:iCs/>
          <w:szCs w:val="24"/>
          <w:vertAlign w:val="subscript"/>
        </w:rPr>
        <w:t>min</w:t>
      </w:r>
      <w:proofErr w:type="spellEnd"/>
      <w:proofErr w:type="gramEnd"/>
      <w:r>
        <w:rPr>
          <w:i/>
          <w:iCs/>
          <w:sz w:val="11"/>
          <w:szCs w:val="11"/>
        </w:rPr>
        <w:t xml:space="preserve"> </w:t>
      </w:r>
      <w:r>
        <w:t xml:space="preserve">is the electric power consumption at minimum heat output, expressed in kW. In case the product does not offer a minimum heat output the value for the electric power consumption at nominal heat output shall be used; </w:t>
      </w:r>
    </w:p>
    <w:p w14:paraId="2336AB95" w14:textId="77777777" w:rsidR="00EB2BE4" w:rsidRDefault="000147DF" w:rsidP="00F63D89">
      <w:pPr>
        <w:pStyle w:val="Tiret3"/>
      </w:pPr>
      <w:proofErr w:type="spellStart"/>
      <w:r w:rsidRPr="005639FA">
        <w:rPr>
          <w:i/>
          <w:iCs/>
          <w:szCs w:val="24"/>
        </w:rPr>
        <w:t>el</w:t>
      </w:r>
      <w:r w:rsidRPr="005639FA">
        <w:rPr>
          <w:i/>
          <w:iCs/>
          <w:szCs w:val="24"/>
          <w:vertAlign w:val="subscript"/>
        </w:rPr>
        <w:t>sb</w:t>
      </w:r>
      <w:proofErr w:type="spellEnd"/>
      <w:r>
        <w:rPr>
          <w:i/>
          <w:iCs/>
          <w:sz w:val="11"/>
          <w:szCs w:val="11"/>
        </w:rPr>
        <w:t xml:space="preserve"> </w:t>
      </w:r>
      <w:r>
        <w:t xml:space="preserve">is the electric power consumption of the product while in standby mode, expressed in kW; </w:t>
      </w:r>
    </w:p>
    <w:p w14:paraId="5B193A11" w14:textId="144E8450" w:rsidR="000147DF" w:rsidRDefault="000147DF" w:rsidP="00F63D89">
      <w:pPr>
        <w:pStyle w:val="Tiret3"/>
      </w:pPr>
      <w:proofErr w:type="spellStart"/>
      <w:r w:rsidRPr="005639FA">
        <w:rPr>
          <w:i/>
          <w:iCs/>
          <w:szCs w:val="24"/>
        </w:rPr>
        <w:t>P</w:t>
      </w:r>
      <w:r w:rsidRPr="005639FA">
        <w:rPr>
          <w:i/>
          <w:iCs/>
          <w:szCs w:val="24"/>
          <w:vertAlign w:val="subscript"/>
        </w:rPr>
        <w:t>nom</w:t>
      </w:r>
      <w:proofErr w:type="spellEnd"/>
      <w:r>
        <w:rPr>
          <w:i/>
          <w:iCs/>
          <w:sz w:val="11"/>
          <w:szCs w:val="11"/>
        </w:rPr>
        <w:t xml:space="preserve"> </w:t>
      </w:r>
      <w:r>
        <w:t>is the nominal heat output of the product, expressed in kW.</w:t>
      </w:r>
    </w:p>
    <w:p w14:paraId="31A65DAB" w14:textId="77777777" w:rsidR="00EB2BE4" w:rsidRDefault="000147DF" w:rsidP="000147DF">
      <w:pPr>
        <w:pStyle w:val="Text3"/>
      </w:pPr>
      <w:r>
        <w:t xml:space="preserve">For commercial local space heaters the auxiliary electricity use correction factor is calculated as follows: </w:t>
      </w:r>
    </w:p>
    <w:p w14:paraId="28A663D7" w14:textId="5F64C763" w:rsidR="00EB2BE4" w:rsidRPr="00F63D89" w:rsidRDefault="00EB2BE4" w:rsidP="00EB2BE4">
      <w:pPr>
        <w:pStyle w:val="Text3"/>
        <w:jc w:val="center"/>
        <w:rPr>
          <w:i/>
          <w:iCs/>
        </w:rPr>
      </w:pPr>
      <w:proofErr w:type="gramStart"/>
      <w:r w:rsidRPr="00F63D89">
        <w:rPr>
          <w:i/>
          <w:iCs/>
        </w:rPr>
        <w:t>F(</w:t>
      </w:r>
      <w:proofErr w:type="gramEnd"/>
      <w:r w:rsidRPr="00F63D89">
        <w:rPr>
          <w:i/>
          <w:iCs/>
        </w:rPr>
        <w:t xml:space="preserve">4) = CC </w:t>
      </w:r>
      <w:r w:rsidR="00471E5F">
        <w:t>·</w:t>
      </w:r>
      <w:r w:rsidRPr="00F63D89">
        <w:t xml:space="preserve"> </w:t>
      </w:r>
      <w:r>
        <w:t>(</w:t>
      </w:r>
      <w:r w:rsidRPr="00F63D89">
        <w:rPr>
          <w:iCs/>
        </w:rPr>
        <w:t>0,</w:t>
      </w:r>
      <w:r>
        <w:rPr>
          <w:iCs/>
        </w:rPr>
        <w:t>15</w:t>
      </w:r>
      <w:r w:rsidRPr="00F63D89">
        <w:rPr>
          <w:i/>
          <w:iCs/>
        </w:rPr>
        <w:t xml:space="preserve"> </w:t>
      </w:r>
      <w:r w:rsidR="00471E5F">
        <w:t>·</w:t>
      </w:r>
      <w:r w:rsidRPr="00F63D89">
        <w:t xml:space="preserve"> </w:t>
      </w:r>
      <w:proofErr w:type="spellStart"/>
      <w:r w:rsidRPr="00F63D89">
        <w:rPr>
          <w:i/>
        </w:rPr>
        <w:t>el</w:t>
      </w:r>
      <w:r w:rsidRPr="00F63D89">
        <w:rPr>
          <w:i/>
          <w:vertAlign w:val="subscript"/>
        </w:rPr>
        <w:t>max</w:t>
      </w:r>
      <w:proofErr w:type="spellEnd"/>
      <w:r w:rsidRPr="00F63D89">
        <w:t xml:space="preserve"> + 0,8</w:t>
      </w:r>
      <w:r>
        <w:t>5</w:t>
      </w:r>
      <w:r w:rsidRPr="00F63D89">
        <w:t xml:space="preserve"> </w:t>
      </w:r>
      <w:r w:rsidR="00471E5F">
        <w:t>·</w:t>
      </w:r>
      <w:r w:rsidRPr="00F63D89">
        <w:t xml:space="preserve"> </w:t>
      </w:r>
      <w:proofErr w:type="spellStart"/>
      <w:r w:rsidRPr="00F63D89">
        <w:rPr>
          <w:i/>
        </w:rPr>
        <w:t>el</w:t>
      </w:r>
      <w:r w:rsidRPr="00F63D89">
        <w:rPr>
          <w:i/>
          <w:vertAlign w:val="subscript"/>
        </w:rPr>
        <w:t>min</w:t>
      </w:r>
      <w:proofErr w:type="spellEnd"/>
      <w:r w:rsidRPr="00F63D89">
        <w:t xml:space="preserve"> + 1,3 </w:t>
      </w:r>
      <w:r w:rsidR="00471E5F">
        <w:t>·</w:t>
      </w:r>
      <w:r w:rsidRPr="00F63D89">
        <w:t xml:space="preserve"> </w:t>
      </w:r>
      <w:proofErr w:type="spellStart"/>
      <w:r w:rsidRPr="00F63D89">
        <w:rPr>
          <w:i/>
        </w:rPr>
        <w:t>el</w:t>
      </w:r>
      <w:r w:rsidRPr="00F63D89">
        <w:rPr>
          <w:i/>
          <w:vertAlign w:val="subscript"/>
        </w:rPr>
        <w:t>sb</w:t>
      </w:r>
      <w:proofErr w:type="spellEnd"/>
      <w:r>
        <w:t>)</w:t>
      </w:r>
      <w:r w:rsidRPr="00F63D89">
        <w:t xml:space="preserve"> </w:t>
      </w:r>
      <w:r w:rsidR="00471E5F">
        <w:t>·</w:t>
      </w:r>
      <w:r w:rsidRPr="00F63D89">
        <w:t xml:space="preserve"> 100 / </w:t>
      </w:r>
      <w:proofErr w:type="spellStart"/>
      <w:r w:rsidRPr="00F63D89">
        <w:rPr>
          <w:i/>
        </w:rPr>
        <w:t>P</w:t>
      </w:r>
      <w:r w:rsidRPr="00F63D89">
        <w:rPr>
          <w:i/>
          <w:vertAlign w:val="subscript"/>
        </w:rPr>
        <w:t>nom</w:t>
      </w:r>
      <w:proofErr w:type="spellEnd"/>
      <w:r w:rsidR="003C30CB" w:rsidRPr="003C30CB">
        <w:t>’</w:t>
      </w:r>
      <w:r w:rsidR="004C3947">
        <w:t>;</w:t>
      </w:r>
    </w:p>
    <w:p w14:paraId="69C64B56" w14:textId="2A42A7EB" w:rsidR="00625B2F" w:rsidRPr="0098398E" w:rsidRDefault="003973E9" w:rsidP="00625B2F">
      <w:pPr>
        <w:pStyle w:val="Point1letter"/>
      </w:pPr>
      <w:proofErr w:type="gramStart"/>
      <w:r>
        <w:t>p</w:t>
      </w:r>
      <w:r w:rsidR="004C3947">
        <w:t>oint</w:t>
      </w:r>
      <w:proofErr w:type="gramEnd"/>
      <w:r w:rsidR="004C3947">
        <w:t xml:space="preserve"> 5(g) is deleted.</w:t>
      </w:r>
    </w:p>
    <w:p w14:paraId="7062A8E7" w14:textId="1927F863" w:rsidR="008D0E96" w:rsidRPr="0034755D" w:rsidRDefault="008D0E96" w:rsidP="00E22332">
      <w:pPr>
        <w:pStyle w:val="Titrearticle"/>
        <w:rPr>
          <w:b/>
          <w:i w:val="0"/>
        </w:rPr>
      </w:pPr>
      <w:r w:rsidRPr="0034755D">
        <w:t xml:space="preserve">Article </w:t>
      </w:r>
      <w:r w:rsidR="004A0CEC">
        <w:t>2</w:t>
      </w:r>
      <w:r w:rsidR="00E61B4E" w:rsidRPr="0034755D">
        <w:br/>
      </w:r>
      <w:r w:rsidRPr="0034755D">
        <w:rPr>
          <w:b/>
          <w:i w:val="0"/>
        </w:rPr>
        <w:t>Entry into force</w:t>
      </w:r>
      <w:r w:rsidR="006E202F" w:rsidRPr="0034755D">
        <w:rPr>
          <w:b/>
          <w:i w:val="0"/>
        </w:rPr>
        <w:t xml:space="preserve"> and application</w:t>
      </w:r>
    </w:p>
    <w:p w14:paraId="13F69D35" w14:textId="77777777" w:rsidR="008D0E96" w:rsidRPr="0034755D" w:rsidRDefault="008D0E96" w:rsidP="00813F69">
      <w:pPr>
        <w:rPr>
          <w:lang w:eastAsia="en-GB"/>
        </w:rPr>
      </w:pPr>
      <w:r w:rsidRPr="0034755D">
        <w:rPr>
          <w:lang w:eastAsia="en-GB"/>
        </w:rPr>
        <w:t xml:space="preserve">This Regulation shall enter into force on the twentieth day following that of its publication in the </w:t>
      </w:r>
      <w:r w:rsidRPr="0034755D">
        <w:rPr>
          <w:i/>
          <w:lang w:eastAsia="en-GB"/>
        </w:rPr>
        <w:t>Official Journal of the European Union</w:t>
      </w:r>
      <w:r w:rsidRPr="0034755D">
        <w:rPr>
          <w:lang w:eastAsia="en-GB"/>
        </w:rPr>
        <w:t>.</w:t>
      </w:r>
    </w:p>
    <w:p w14:paraId="651DFA30" w14:textId="55531E5E" w:rsidR="00A32D4E" w:rsidRPr="0034755D" w:rsidRDefault="00813F69" w:rsidP="00813F69">
      <w:pPr>
        <w:rPr>
          <w:lang w:eastAsia="en-GB"/>
        </w:rPr>
      </w:pPr>
      <w:r w:rsidRPr="0034755D">
        <w:rPr>
          <w:lang w:eastAsia="en-GB"/>
        </w:rPr>
        <w:t>It</w:t>
      </w:r>
      <w:r w:rsidR="00A32D4E" w:rsidRPr="0034755D">
        <w:rPr>
          <w:lang w:eastAsia="en-GB"/>
        </w:rPr>
        <w:t xml:space="preserve"> </w:t>
      </w:r>
      <w:r w:rsidR="008D0E96" w:rsidRPr="0034755D">
        <w:rPr>
          <w:lang w:eastAsia="en-GB"/>
        </w:rPr>
        <w:t xml:space="preserve">shall apply from </w:t>
      </w:r>
      <w:r w:rsidR="003F62E2" w:rsidRPr="0034755D">
        <w:rPr>
          <w:lang w:eastAsia="en-GB"/>
        </w:rPr>
        <w:t>1 January 202</w:t>
      </w:r>
      <w:r w:rsidR="00826354" w:rsidRPr="0034755D">
        <w:rPr>
          <w:lang w:eastAsia="en-GB"/>
        </w:rPr>
        <w:t>2</w:t>
      </w:r>
      <w:r w:rsidR="008D0E96" w:rsidRPr="0034755D">
        <w:rPr>
          <w:lang w:eastAsia="en-GB"/>
        </w:rPr>
        <w:t xml:space="preserve">. </w:t>
      </w:r>
      <w:r w:rsidRPr="0034755D">
        <w:rPr>
          <w:lang w:eastAsia="en-GB"/>
        </w:rPr>
        <w:t xml:space="preserve">However, Article </w:t>
      </w:r>
      <w:r w:rsidR="00C84E8A">
        <w:rPr>
          <w:lang w:eastAsia="en-GB"/>
        </w:rPr>
        <w:t>1(4)</w:t>
      </w:r>
      <w:r w:rsidRPr="0034755D">
        <w:rPr>
          <w:lang w:eastAsia="en-GB"/>
        </w:rPr>
        <w:t xml:space="preserve"> shall apply from </w:t>
      </w:r>
      <w:r w:rsidRPr="0034755D">
        <w:rPr>
          <w:i/>
          <w:color w:val="FF0000"/>
          <w:lang w:eastAsia="de-DE"/>
        </w:rPr>
        <w:t>[OP – please insert the day of entry into force of this Regulation]</w:t>
      </w:r>
      <w:r w:rsidRPr="0034755D">
        <w:rPr>
          <w:lang w:eastAsia="de-DE"/>
        </w:rPr>
        <w:t>.</w:t>
      </w:r>
    </w:p>
    <w:p w14:paraId="6487A539" w14:textId="77777777" w:rsidR="00D363A1" w:rsidRPr="0034755D" w:rsidRDefault="00D363A1" w:rsidP="00F43F07">
      <w:pPr>
        <w:pStyle w:val="Applicationdirecte"/>
      </w:pPr>
      <w:r w:rsidRPr="0034755D">
        <w:t>This Regulation shall be binding in its entirety and directly applicable in all Member States.</w:t>
      </w:r>
    </w:p>
    <w:p w14:paraId="502A09D6" w14:textId="1684B76D" w:rsidR="00D363A1" w:rsidRPr="0034755D" w:rsidRDefault="00036C46" w:rsidP="00036C46">
      <w:pPr>
        <w:pStyle w:val="Fait"/>
      </w:pPr>
      <w:r w:rsidRPr="00036C46">
        <w:t>Done at Brussels,</w:t>
      </w:r>
    </w:p>
    <w:p w14:paraId="3AAFFA10" w14:textId="77777777" w:rsidR="007A3514" w:rsidRPr="0034755D" w:rsidRDefault="007A3514" w:rsidP="007A3514">
      <w:pPr>
        <w:pStyle w:val="Institutionquisigne"/>
      </w:pPr>
      <w:r w:rsidRPr="0034755D">
        <w:tab/>
        <w:t>For the Commission</w:t>
      </w:r>
    </w:p>
    <w:p w14:paraId="77C83D9E" w14:textId="77777777" w:rsidR="008616E5" w:rsidRPr="0034755D" w:rsidRDefault="008616E5" w:rsidP="00D363A1">
      <w:pPr>
        <w:pStyle w:val="Personnequisigne"/>
        <w:rPr>
          <w:i w:val="0"/>
        </w:rPr>
      </w:pPr>
      <w:r w:rsidRPr="0034755D">
        <w:tab/>
      </w:r>
      <w:r w:rsidRPr="0034755D">
        <w:rPr>
          <w:i w:val="0"/>
        </w:rPr>
        <w:t>Jean-Claude JUNCKER</w:t>
      </w:r>
    </w:p>
    <w:p w14:paraId="57F0BF4C" w14:textId="77777777" w:rsidR="00D363A1" w:rsidRPr="00D363A1" w:rsidRDefault="008616E5" w:rsidP="00D363A1">
      <w:pPr>
        <w:pStyle w:val="Personnequisigne"/>
      </w:pPr>
      <w:r w:rsidRPr="0034755D">
        <w:tab/>
        <w:t>The President</w:t>
      </w:r>
    </w:p>
    <w:sectPr w:rsidR="00D363A1" w:rsidRPr="00D363A1" w:rsidSect="0061417A">
      <w:footerReference w:type="default" r:id="rId16"/>
      <w:footerReference w:type="firs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0EA964" w14:textId="77777777" w:rsidR="00F43F07" w:rsidRDefault="00F43F07" w:rsidP="00D363A1">
      <w:pPr>
        <w:spacing w:before="0" w:after="0"/>
      </w:pPr>
      <w:r>
        <w:separator/>
      </w:r>
    </w:p>
  </w:endnote>
  <w:endnote w:type="continuationSeparator" w:id="0">
    <w:p w14:paraId="6C8EB785" w14:textId="77777777" w:rsidR="00F43F07" w:rsidRDefault="00F43F07" w:rsidP="00D363A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12BCD1" w14:textId="77777777" w:rsidR="00036C46" w:rsidRPr="0061417A" w:rsidRDefault="00036C46" w:rsidP="0061417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AE141E" w14:textId="0ADBD647" w:rsidR="002C1F6E" w:rsidRPr="0061417A" w:rsidRDefault="0061417A" w:rsidP="0061417A">
    <w:pPr>
      <w:pStyle w:val="Footer"/>
      <w:rPr>
        <w:rFonts w:ascii="Arial" w:hAnsi="Arial" w:cs="Arial"/>
        <w:b/>
        <w:sz w:val="48"/>
      </w:rPr>
    </w:pPr>
    <w:r w:rsidRPr="0061417A">
      <w:rPr>
        <w:rFonts w:ascii="Arial" w:hAnsi="Arial" w:cs="Arial"/>
        <w:b/>
        <w:sz w:val="48"/>
      </w:rPr>
      <w:t>EN</w:t>
    </w:r>
    <w:r w:rsidRPr="0061417A">
      <w:rPr>
        <w:rFonts w:ascii="Arial" w:hAnsi="Arial" w:cs="Arial"/>
        <w:b/>
        <w:sz w:val="48"/>
      </w:rPr>
      <w:tab/>
    </w:r>
    <w:r w:rsidRPr="0061417A">
      <w:rPr>
        <w:rFonts w:ascii="Arial" w:hAnsi="Arial" w:cs="Arial"/>
        <w:b/>
        <w:sz w:val="48"/>
      </w:rPr>
      <w:tab/>
    </w:r>
    <w:r w:rsidRPr="0061417A">
      <w:tab/>
    </w:r>
    <w:proofErr w:type="spellStart"/>
    <w:r w:rsidRPr="0061417A">
      <w:rPr>
        <w:rFonts w:ascii="Arial" w:hAnsi="Arial" w:cs="Arial"/>
        <w:b/>
        <w:sz w:val="48"/>
      </w:rPr>
      <w:t>EN</w:t>
    </w:r>
    <w:proofErr w:type="spellEnd"/>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B00643" w14:textId="77777777" w:rsidR="00036C46" w:rsidRPr="0061417A" w:rsidRDefault="00036C46" w:rsidP="0061417A">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4DB4D1" w14:textId="655BA10B" w:rsidR="0061417A" w:rsidRPr="0061417A" w:rsidRDefault="0061417A" w:rsidP="0061417A">
    <w:pPr>
      <w:pStyle w:val="Footer"/>
      <w:rPr>
        <w:rFonts w:ascii="Arial" w:hAnsi="Arial" w:cs="Arial"/>
        <w:b/>
        <w:sz w:val="48"/>
      </w:rPr>
    </w:pPr>
    <w:r w:rsidRPr="0061417A">
      <w:rPr>
        <w:rFonts w:ascii="Arial" w:hAnsi="Arial" w:cs="Arial"/>
        <w:b/>
        <w:sz w:val="48"/>
      </w:rPr>
      <w:t>EN</w:t>
    </w:r>
    <w:r w:rsidRPr="0061417A">
      <w:rPr>
        <w:rFonts w:ascii="Arial" w:hAnsi="Arial" w:cs="Arial"/>
        <w:b/>
        <w:sz w:val="48"/>
      </w:rPr>
      <w:tab/>
    </w:r>
    <w:r>
      <w:fldChar w:fldCharType="begin"/>
    </w:r>
    <w:r>
      <w:instrText xml:space="preserve"> PAGE  \* MERGEFORMAT </w:instrText>
    </w:r>
    <w:r>
      <w:fldChar w:fldCharType="separate"/>
    </w:r>
    <w:r>
      <w:rPr>
        <w:noProof/>
      </w:rPr>
      <w:t>13</w:t>
    </w:r>
    <w:r>
      <w:fldChar w:fldCharType="end"/>
    </w:r>
    <w:r>
      <w:tab/>
    </w:r>
    <w:r w:rsidRPr="0061417A">
      <w:tab/>
    </w:r>
    <w:r w:rsidRPr="0061417A">
      <w:rPr>
        <w:rFonts w:ascii="Arial" w:hAnsi="Arial" w:cs="Arial"/>
        <w:b/>
        <w:sz w:val="48"/>
      </w:rPr>
      <w:t>EN</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CC0E24" w14:textId="77777777" w:rsidR="0061417A" w:rsidRPr="0061417A" w:rsidRDefault="0061417A" w:rsidP="0061417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5AA545" w14:textId="77777777" w:rsidR="00F43F07" w:rsidRDefault="00F43F07" w:rsidP="00D363A1">
      <w:pPr>
        <w:spacing w:before="0" w:after="0"/>
      </w:pPr>
      <w:r>
        <w:separator/>
      </w:r>
    </w:p>
  </w:footnote>
  <w:footnote w:type="continuationSeparator" w:id="0">
    <w:p w14:paraId="6E9B51B7" w14:textId="77777777" w:rsidR="00F43F07" w:rsidRDefault="00F43F07" w:rsidP="00D363A1">
      <w:pPr>
        <w:spacing w:before="0" w:after="0"/>
      </w:pPr>
      <w:r>
        <w:continuationSeparator/>
      </w:r>
    </w:p>
  </w:footnote>
  <w:footnote w:id="1">
    <w:p w14:paraId="646AB319" w14:textId="77777777" w:rsidR="00F43F07" w:rsidRPr="00932C4B" w:rsidRDefault="00F43F07" w:rsidP="00F43F07">
      <w:pPr>
        <w:pStyle w:val="FootnoteText"/>
      </w:pPr>
      <w:r>
        <w:rPr>
          <w:rStyle w:val="FootnoteReference"/>
        </w:rPr>
        <w:footnoteRef/>
      </w:r>
      <w:r w:rsidRPr="00932C4B">
        <w:tab/>
        <w:t>OJ L 285, 31.10.2009, p. 10.</w:t>
      </w:r>
    </w:p>
  </w:footnote>
  <w:footnote w:id="2">
    <w:p w14:paraId="5F8C1DD0" w14:textId="77777777" w:rsidR="00F43F07" w:rsidRPr="00444402" w:rsidRDefault="00F43F07" w:rsidP="009122FA">
      <w:pPr>
        <w:pStyle w:val="FootnoteText"/>
        <w:rPr>
          <w:szCs w:val="21"/>
          <w:lang w:val="en"/>
        </w:rPr>
      </w:pPr>
      <w:r w:rsidRPr="00531C6A">
        <w:rPr>
          <w:rStyle w:val="FootnoteReference"/>
        </w:rPr>
        <w:footnoteRef/>
      </w:r>
      <w:r w:rsidRPr="00131423">
        <w:rPr>
          <w:color w:val="444444"/>
          <w:sz w:val="21"/>
          <w:szCs w:val="21"/>
          <w:lang w:val="en"/>
        </w:rPr>
        <w:tab/>
      </w:r>
      <w:proofErr w:type="gramStart"/>
      <w:r w:rsidRPr="009E151F">
        <w:rPr>
          <w:szCs w:val="21"/>
          <w:lang w:val="en"/>
        </w:rPr>
        <w:t>Communication from the Commission.</w:t>
      </w:r>
      <w:proofErr w:type="gramEnd"/>
      <w:r w:rsidRPr="009E151F">
        <w:rPr>
          <w:szCs w:val="21"/>
          <w:lang w:val="en"/>
        </w:rPr>
        <w:t xml:space="preserve"> Ecodesign working plan 2016-2019</w:t>
      </w:r>
      <w:r>
        <w:rPr>
          <w:szCs w:val="21"/>
          <w:lang w:val="en"/>
        </w:rPr>
        <w:t xml:space="preserve">, </w:t>
      </w:r>
      <w:proofErr w:type="gramStart"/>
      <w:r>
        <w:rPr>
          <w:szCs w:val="21"/>
          <w:lang w:val="en"/>
        </w:rPr>
        <w:t>COM(</w:t>
      </w:r>
      <w:proofErr w:type="gramEnd"/>
      <w:r>
        <w:rPr>
          <w:szCs w:val="21"/>
          <w:lang w:val="en"/>
        </w:rPr>
        <w:t>2016)</w:t>
      </w:r>
      <w:r w:rsidRPr="009E151F">
        <w:rPr>
          <w:szCs w:val="21"/>
          <w:lang w:val="en"/>
        </w:rPr>
        <w:t>773 final</w:t>
      </w:r>
      <w:r w:rsidRPr="00444402">
        <w:rPr>
          <w:szCs w:val="21"/>
          <w:lang w:val="en"/>
        </w:rPr>
        <w:t xml:space="preserve">, </w:t>
      </w:r>
      <w:r w:rsidRPr="00CC6CA8">
        <w:rPr>
          <w:szCs w:val="21"/>
          <w:lang w:val="en"/>
        </w:rPr>
        <w:t>30.11.2016</w:t>
      </w:r>
      <w:r w:rsidRPr="00444402">
        <w:rPr>
          <w:szCs w:val="21"/>
          <w:lang w:val="en"/>
        </w:rPr>
        <w:t>.</w:t>
      </w:r>
    </w:p>
  </w:footnote>
  <w:footnote w:id="3">
    <w:p w14:paraId="6C65A5B0" w14:textId="00AF072B" w:rsidR="00F43F07" w:rsidRPr="0022292F" w:rsidRDefault="00F43F07" w:rsidP="00CC0365">
      <w:pPr>
        <w:pStyle w:val="FootnoteText"/>
        <w:rPr>
          <w:color w:val="000000" w:themeColor="text1"/>
        </w:rPr>
      </w:pPr>
      <w:r w:rsidRPr="008443E6">
        <w:rPr>
          <w:rStyle w:val="FootnoteReference"/>
        </w:rPr>
        <w:footnoteRef/>
      </w:r>
      <w:r>
        <w:tab/>
      </w:r>
      <w:r w:rsidRPr="0022292F">
        <w:rPr>
          <w:color w:val="000000" w:themeColor="text1"/>
        </w:rPr>
        <w:t xml:space="preserve">OJ L </w:t>
      </w:r>
      <w:r>
        <w:rPr>
          <w:color w:val="000000" w:themeColor="text1"/>
        </w:rPr>
        <w:t>193</w:t>
      </w:r>
      <w:r w:rsidRPr="0022292F">
        <w:rPr>
          <w:color w:val="000000" w:themeColor="text1"/>
        </w:rPr>
        <w:t xml:space="preserve">, </w:t>
      </w:r>
      <w:r>
        <w:rPr>
          <w:color w:val="000000" w:themeColor="text1"/>
        </w:rPr>
        <w:t>21.07.</w:t>
      </w:r>
      <w:r w:rsidRPr="0022292F">
        <w:rPr>
          <w:color w:val="000000" w:themeColor="text1"/>
        </w:rPr>
        <w:t>201</w:t>
      </w:r>
      <w:r>
        <w:rPr>
          <w:color w:val="000000" w:themeColor="text1"/>
        </w:rPr>
        <w:t>5</w:t>
      </w:r>
      <w:r w:rsidRPr="0022292F">
        <w:rPr>
          <w:color w:val="000000" w:themeColor="text1"/>
        </w:rPr>
        <w:t>, p.7</w:t>
      </w:r>
      <w:r>
        <w:rPr>
          <w:color w:val="000000" w:themeColor="text1"/>
        </w:rPr>
        <w:t>6.</w:t>
      </w:r>
    </w:p>
  </w:footnote>
  <w:footnote w:id="4">
    <w:p w14:paraId="3D1CB965" w14:textId="77777777" w:rsidR="00F43F07" w:rsidRPr="00A50C59" w:rsidRDefault="00F43F07" w:rsidP="00C84E8A">
      <w:pPr>
        <w:pStyle w:val="FootnoteText"/>
        <w:ind w:left="0" w:firstLine="0"/>
      </w:pPr>
      <w:r>
        <w:rPr>
          <w:rStyle w:val="FootnoteReference"/>
        </w:rPr>
        <w:footnoteRef/>
      </w:r>
      <w:r>
        <w:t xml:space="preserve"> </w:t>
      </w:r>
      <w:r>
        <w:rPr>
          <w:sz w:val="17"/>
          <w:szCs w:val="17"/>
        </w:rPr>
        <w:t>Directive 2012/27/EU of the European Parliament and of the Council of 25 October 2012 on energy efficiency, amending Directives 2009/125/EC and 2010/30/EU and repealing Directives 2004/8/EC and 2006/32/EC (OJ L 315, 14.11.2012, p. 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FBF642" w14:textId="77777777" w:rsidR="00036C46" w:rsidRPr="0061417A" w:rsidRDefault="00036C46" w:rsidP="0061417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63944308"/>
      <w:docPartObj>
        <w:docPartGallery w:val="Custom Watermarks"/>
        <w:docPartUnique/>
      </w:docPartObj>
    </w:sdtPr>
    <w:sdtContent>
      <w:sdt>
        <w:sdtPr>
          <w:id w:val="1639906031"/>
          <w:lock w:val="contentLocked"/>
          <w:placeholder>
            <w:docPart w:val="09F4B6E0C06F4B43949A46A41136F9CE"/>
          </w:placeholder>
          <w:group/>
        </w:sdtPr>
        <w:sdtContent>
          <w:p w14:paraId="590EE832" w14:textId="76EA58C7" w:rsidR="00036C46" w:rsidRPr="0061417A" w:rsidRDefault="0061417A" w:rsidP="0061417A">
            <w:pPr>
              <w:pStyle w:val="Header"/>
            </w:pPr>
            <w:r>
              <w:rPr>
                <w:noProof/>
                <w:lang w:val="en-US"/>
              </w:rPr>
              <w:pict w14:anchorId="6CCC5BC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Draft_LW" o:spid="_x0000_s114690" type="#_x0000_t136" style="position:absolute;left:0;text-align:left;margin-left:0;margin-top:0;width:402.5pt;height:175.75pt;rotation:315;z-index:251659264;mso-position-horizontal:center;mso-position-horizontal-relative:margin;mso-position-vertical:center;mso-position-vertical-relative:margin" fillcolor="#b2b2b2" stroked="f">
                  <v:fill opacity=".5"/>
                  <v:stroke r:id="rId1" o:title=""/>
                  <v:shadow color="#868686"/>
                  <v:textpath style="font-family:&quot;Arial&quot;;font-size:1pt;v-text-kern:t" trim="t" fitpath="t" string="DRAFT"/>
                  <o:lock v:ext="edit" aspectratio="t"/>
                  <w10:wrap side="largest" anchorx="margin" anchory="margin"/>
                </v:shape>
              </w:pict>
            </w:r>
          </w:p>
        </w:sdtContent>
      </w:sdt>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A28C1F" w14:textId="77777777" w:rsidR="00036C46" w:rsidRPr="0061417A" w:rsidRDefault="00036C46" w:rsidP="0061417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83CE0368"/>
    <w:lvl w:ilvl="0">
      <w:start w:val="1"/>
      <w:numFmt w:val="decimal"/>
      <w:pStyle w:val="ListNumber4"/>
      <w:lvlText w:val="%1."/>
      <w:lvlJc w:val="left"/>
      <w:pPr>
        <w:tabs>
          <w:tab w:val="num" w:pos="1209"/>
        </w:tabs>
        <w:ind w:left="1209" w:hanging="360"/>
      </w:pPr>
    </w:lvl>
  </w:abstractNum>
  <w:abstractNum w:abstractNumId="1">
    <w:nsid w:val="FFFFFF7E"/>
    <w:multiLevelType w:val="singleLevel"/>
    <w:tmpl w:val="22BAA20E"/>
    <w:lvl w:ilvl="0">
      <w:start w:val="1"/>
      <w:numFmt w:val="decimal"/>
      <w:pStyle w:val="ListNumber3"/>
      <w:lvlText w:val="%1."/>
      <w:lvlJc w:val="left"/>
      <w:pPr>
        <w:tabs>
          <w:tab w:val="num" w:pos="926"/>
        </w:tabs>
        <w:ind w:left="926" w:hanging="360"/>
      </w:pPr>
    </w:lvl>
  </w:abstractNum>
  <w:abstractNum w:abstractNumId="2">
    <w:nsid w:val="FFFFFF7F"/>
    <w:multiLevelType w:val="singleLevel"/>
    <w:tmpl w:val="4614D8A4"/>
    <w:lvl w:ilvl="0">
      <w:start w:val="1"/>
      <w:numFmt w:val="decimal"/>
      <w:pStyle w:val="ListNumber2"/>
      <w:lvlText w:val="%1."/>
      <w:lvlJc w:val="left"/>
      <w:pPr>
        <w:tabs>
          <w:tab w:val="num" w:pos="643"/>
        </w:tabs>
        <w:ind w:left="643" w:hanging="360"/>
      </w:pPr>
    </w:lvl>
  </w:abstractNum>
  <w:abstractNum w:abstractNumId="3">
    <w:nsid w:val="FFFFFF81"/>
    <w:multiLevelType w:val="singleLevel"/>
    <w:tmpl w:val="A6405B7C"/>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2"/>
    <w:multiLevelType w:val="singleLevel"/>
    <w:tmpl w:val="1A00D97C"/>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3"/>
    <w:multiLevelType w:val="singleLevel"/>
    <w:tmpl w:val="97506EE2"/>
    <w:lvl w:ilvl="0">
      <w:start w:val="1"/>
      <w:numFmt w:val="bullet"/>
      <w:pStyle w:val="ListBullet2"/>
      <w:lvlText w:val=""/>
      <w:lvlJc w:val="left"/>
      <w:pPr>
        <w:tabs>
          <w:tab w:val="num" w:pos="643"/>
        </w:tabs>
        <w:ind w:left="643" w:hanging="360"/>
      </w:pPr>
      <w:rPr>
        <w:rFonts w:ascii="Symbol" w:hAnsi="Symbol" w:hint="default"/>
      </w:rPr>
    </w:lvl>
  </w:abstractNum>
  <w:abstractNum w:abstractNumId="6">
    <w:nsid w:val="FFFFFF88"/>
    <w:multiLevelType w:val="singleLevel"/>
    <w:tmpl w:val="16D07292"/>
    <w:lvl w:ilvl="0">
      <w:start w:val="1"/>
      <w:numFmt w:val="decimal"/>
      <w:pStyle w:val="ListNumber"/>
      <w:lvlText w:val="%1."/>
      <w:lvlJc w:val="left"/>
      <w:pPr>
        <w:tabs>
          <w:tab w:val="num" w:pos="360"/>
        </w:tabs>
        <w:ind w:left="360" w:hanging="360"/>
      </w:pPr>
    </w:lvl>
  </w:abstractNum>
  <w:abstractNum w:abstractNumId="7">
    <w:nsid w:val="FFFFFF89"/>
    <w:multiLevelType w:val="singleLevel"/>
    <w:tmpl w:val="61346110"/>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1B3C78B8"/>
    <w:multiLevelType w:val="multilevel"/>
    <w:tmpl w:val="63B8DE68"/>
    <w:name w:val="Point"/>
    <w:lvl w:ilvl="0">
      <w:start w:val="1"/>
      <w:numFmt w:val="decimal"/>
      <w:lvlRestart w:val="0"/>
      <w:pStyle w:val="Point0number"/>
      <w:lvlText w:val="(%1)"/>
      <w:lvlJc w:val="left"/>
      <w:pPr>
        <w:tabs>
          <w:tab w:val="num" w:pos="850"/>
        </w:tabs>
        <w:ind w:left="850" w:hanging="850"/>
      </w:pPr>
      <w:rPr>
        <w:rFonts w:hint="default"/>
      </w:rPr>
    </w:lvl>
    <w:lvl w:ilvl="1">
      <w:start w:val="1"/>
      <w:numFmt w:val="lowerLetter"/>
      <w:pStyle w:val="Point0letter"/>
      <w:lvlText w:val="(%2)"/>
      <w:lvlJc w:val="left"/>
      <w:pPr>
        <w:tabs>
          <w:tab w:val="num" w:pos="850"/>
        </w:tabs>
        <w:ind w:left="850" w:hanging="850"/>
      </w:pPr>
      <w:rPr>
        <w:rFonts w:hint="default"/>
      </w:rPr>
    </w:lvl>
    <w:lvl w:ilvl="2">
      <w:start w:val="1"/>
      <w:numFmt w:val="decimal"/>
      <w:pStyle w:val="Point1number"/>
      <w:lvlText w:val="(%3)"/>
      <w:lvlJc w:val="left"/>
      <w:pPr>
        <w:tabs>
          <w:tab w:val="num" w:pos="1417"/>
        </w:tabs>
        <w:ind w:left="1417" w:hanging="567"/>
      </w:pPr>
      <w:rPr>
        <w:rFonts w:hint="default"/>
      </w:rPr>
    </w:lvl>
    <w:lvl w:ilvl="3">
      <w:start w:val="1"/>
      <w:numFmt w:val="lowerLetter"/>
      <w:pStyle w:val="Point1letter"/>
      <w:lvlText w:val="(%4)"/>
      <w:lvlJc w:val="left"/>
      <w:pPr>
        <w:tabs>
          <w:tab w:val="num" w:pos="1417"/>
        </w:tabs>
        <w:ind w:left="1417" w:hanging="567"/>
      </w:pPr>
      <w:rPr>
        <w:rFonts w:hint="default"/>
      </w:rPr>
    </w:lvl>
    <w:lvl w:ilvl="4">
      <w:start w:val="1"/>
      <w:numFmt w:val="decimal"/>
      <w:pStyle w:val="Point2number"/>
      <w:lvlText w:val="(%5)"/>
      <w:lvlJc w:val="left"/>
      <w:pPr>
        <w:tabs>
          <w:tab w:val="num" w:pos="1984"/>
        </w:tabs>
        <w:ind w:left="1984" w:hanging="567"/>
      </w:pPr>
      <w:rPr>
        <w:rFonts w:hint="default"/>
      </w:rPr>
    </w:lvl>
    <w:lvl w:ilvl="5">
      <w:start w:val="1"/>
      <w:numFmt w:val="lowerLetter"/>
      <w:pStyle w:val="Point2letter"/>
      <w:lvlText w:val="(%6)"/>
      <w:lvlJc w:val="left"/>
      <w:pPr>
        <w:tabs>
          <w:tab w:val="num" w:pos="1984"/>
        </w:tabs>
        <w:ind w:left="1984" w:hanging="567"/>
      </w:pPr>
      <w:rPr>
        <w:rFonts w:hint="default"/>
      </w:rPr>
    </w:lvl>
    <w:lvl w:ilvl="6">
      <w:start w:val="1"/>
      <w:numFmt w:val="decimal"/>
      <w:pStyle w:val="Point3number"/>
      <w:lvlText w:val="(%7)"/>
      <w:lvlJc w:val="left"/>
      <w:pPr>
        <w:tabs>
          <w:tab w:val="num" w:pos="2551"/>
        </w:tabs>
        <w:ind w:left="2551" w:hanging="567"/>
      </w:pPr>
      <w:rPr>
        <w:rFonts w:hint="default"/>
      </w:rPr>
    </w:lvl>
    <w:lvl w:ilvl="7">
      <w:start w:val="1"/>
      <w:numFmt w:val="lowerLetter"/>
      <w:pStyle w:val="Point3letter"/>
      <w:lvlText w:val="(%8)"/>
      <w:lvlJc w:val="left"/>
      <w:pPr>
        <w:tabs>
          <w:tab w:val="num" w:pos="2551"/>
        </w:tabs>
        <w:ind w:left="2551" w:hanging="567"/>
      </w:pPr>
      <w:rPr>
        <w:rFonts w:hint="default"/>
      </w:rPr>
    </w:lvl>
    <w:lvl w:ilvl="8">
      <w:start w:val="1"/>
      <w:numFmt w:val="lowerLetter"/>
      <w:pStyle w:val="Point4letter"/>
      <w:lvlText w:val="(%9)"/>
      <w:lvlJc w:val="left"/>
      <w:pPr>
        <w:tabs>
          <w:tab w:val="num" w:pos="3118"/>
        </w:tabs>
        <w:ind w:left="3118" w:hanging="567"/>
      </w:pPr>
      <w:rPr>
        <w:rFonts w:hint="default"/>
      </w:rPr>
    </w:lvl>
  </w:abstractNum>
  <w:abstractNum w:abstractNumId="9">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8D531E7"/>
    <w:multiLevelType w:val="multilevel"/>
    <w:tmpl w:val="2B14062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2">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3">
    <w:nsid w:val="30834BB8"/>
    <w:multiLevelType w:val="hybridMultilevel"/>
    <w:tmpl w:val="69BE07C8"/>
    <w:lvl w:ilvl="0" w:tplc="92EE4B04">
      <w:start w:val="1"/>
      <w:numFmt w:val="lowerRoman"/>
      <w:lvlText w:val="(%1)"/>
      <w:lvlJc w:val="left"/>
      <w:pPr>
        <w:ind w:left="2704" w:hanging="720"/>
      </w:pPr>
      <w:rPr>
        <w:rFonts w:hint="default"/>
      </w:rPr>
    </w:lvl>
    <w:lvl w:ilvl="1" w:tplc="08090019" w:tentative="1">
      <w:start w:val="1"/>
      <w:numFmt w:val="lowerLetter"/>
      <w:lvlText w:val="%2."/>
      <w:lvlJc w:val="left"/>
      <w:pPr>
        <w:ind w:left="3064" w:hanging="360"/>
      </w:pPr>
    </w:lvl>
    <w:lvl w:ilvl="2" w:tplc="0809001B" w:tentative="1">
      <w:start w:val="1"/>
      <w:numFmt w:val="lowerRoman"/>
      <w:lvlText w:val="%3."/>
      <w:lvlJc w:val="right"/>
      <w:pPr>
        <w:ind w:left="3784" w:hanging="180"/>
      </w:pPr>
    </w:lvl>
    <w:lvl w:ilvl="3" w:tplc="0809000F" w:tentative="1">
      <w:start w:val="1"/>
      <w:numFmt w:val="decimal"/>
      <w:lvlText w:val="%4."/>
      <w:lvlJc w:val="left"/>
      <w:pPr>
        <w:ind w:left="4504" w:hanging="360"/>
      </w:pPr>
    </w:lvl>
    <w:lvl w:ilvl="4" w:tplc="08090019" w:tentative="1">
      <w:start w:val="1"/>
      <w:numFmt w:val="lowerLetter"/>
      <w:lvlText w:val="%5."/>
      <w:lvlJc w:val="left"/>
      <w:pPr>
        <w:ind w:left="5224" w:hanging="360"/>
      </w:pPr>
    </w:lvl>
    <w:lvl w:ilvl="5" w:tplc="0809001B" w:tentative="1">
      <w:start w:val="1"/>
      <w:numFmt w:val="lowerRoman"/>
      <w:lvlText w:val="%6."/>
      <w:lvlJc w:val="right"/>
      <w:pPr>
        <w:ind w:left="5944" w:hanging="180"/>
      </w:pPr>
    </w:lvl>
    <w:lvl w:ilvl="6" w:tplc="0809000F" w:tentative="1">
      <w:start w:val="1"/>
      <w:numFmt w:val="decimal"/>
      <w:lvlText w:val="%7."/>
      <w:lvlJc w:val="left"/>
      <w:pPr>
        <w:ind w:left="6664" w:hanging="360"/>
      </w:pPr>
    </w:lvl>
    <w:lvl w:ilvl="7" w:tplc="08090019" w:tentative="1">
      <w:start w:val="1"/>
      <w:numFmt w:val="lowerLetter"/>
      <w:lvlText w:val="%8."/>
      <w:lvlJc w:val="left"/>
      <w:pPr>
        <w:ind w:left="7384" w:hanging="360"/>
      </w:pPr>
    </w:lvl>
    <w:lvl w:ilvl="8" w:tplc="0809001B" w:tentative="1">
      <w:start w:val="1"/>
      <w:numFmt w:val="lowerRoman"/>
      <w:lvlText w:val="%9."/>
      <w:lvlJc w:val="right"/>
      <w:pPr>
        <w:ind w:left="8104" w:hanging="180"/>
      </w:pPr>
    </w:lvl>
  </w:abstractNum>
  <w:abstractNum w:abstractNumId="14">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5">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6">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7">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8">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9">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1">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67B30008"/>
    <w:multiLevelType w:val="hybridMultilevel"/>
    <w:tmpl w:val="4D0E93D0"/>
    <w:lvl w:ilvl="0" w:tplc="4D3676BA">
      <w:start w:val="1"/>
      <w:numFmt w:val="lowerRoman"/>
      <w:lvlText w:val="(%1)"/>
      <w:lvlJc w:val="left"/>
      <w:pPr>
        <w:ind w:left="2137" w:hanging="720"/>
      </w:pPr>
      <w:rPr>
        <w:rFonts w:hint="default"/>
      </w:rPr>
    </w:lvl>
    <w:lvl w:ilvl="1" w:tplc="08090019" w:tentative="1">
      <w:start w:val="1"/>
      <w:numFmt w:val="lowerLetter"/>
      <w:lvlText w:val="%2."/>
      <w:lvlJc w:val="left"/>
      <w:pPr>
        <w:ind w:left="2497" w:hanging="360"/>
      </w:pPr>
    </w:lvl>
    <w:lvl w:ilvl="2" w:tplc="0809001B" w:tentative="1">
      <w:start w:val="1"/>
      <w:numFmt w:val="lowerRoman"/>
      <w:lvlText w:val="%3."/>
      <w:lvlJc w:val="right"/>
      <w:pPr>
        <w:ind w:left="3217" w:hanging="180"/>
      </w:pPr>
    </w:lvl>
    <w:lvl w:ilvl="3" w:tplc="0809000F" w:tentative="1">
      <w:start w:val="1"/>
      <w:numFmt w:val="decimal"/>
      <w:lvlText w:val="%4."/>
      <w:lvlJc w:val="left"/>
      <w:pPr>
        <w:ind w:left="3937" w:hanging="360"/>
      </w:pPr>
    </w:lvl>
    <w:lvl w:ilvl="4" w:tplc="08090019" w:tentative="1">
      <w:start w:val="1"/>
      <w:numFmt w:val="lowerLetter"/>
      <w:lvlText w:val="%5."/>
      <w:lvlJc w:val="left"/>
      <w:pPr>
        <w:ind w:left="4657" w:hanging="360"/>
      </w:pPr>
    </w:lvl>
    <w:lvl w:ilvl="5" w:tplc="0809001B" w:tentative="1">
      <w:start w:val="1"/>
      <w:numFmt w:val="lowerRoman"/>
      <w:lvlText w:val="%6."/>
      <w:lvlJc w:val="right"/>
      <w:pPr>
        <w:ind w:left="5377" w:hanging="180"/>
      </w:pPr>
    </w:lvl>
    <w:lvl w:ilvl="6" w:tplc="0809000F" w:tentative="1">
      <w:start w:val="1"/>
      <w:numFmt w:val="decimal"/>
      <w:lvlText w:val="%7."/>
      <w:lvlJc w:val="left"/>
      <w:pPr>
        <w:ind w:left="6097" w:hanging="360"/>
      </w:pPr>
    </w:lvl>
    <w:lvl w:ilvl="7" w:tplc="08090019" w:tentative="1">
      <w:start w:val="1"/>
      <w:numFmt w:val="lowerLetter"/>
      <w:lvlText w:val="%8."/>
      <w:lvlJc w:val="left"/>
      <w:pPr>
        <w:ind w:left="6817" w:hanging="360"/>
      </w:pPr>
    </w:lvl>
    <w:lvl w:ilvl="8" w:tplc="0809001B" w:tentative="1">
      <w:start w:val="1"/>
      <w:numFmt w:val="lowerRoman"/>
      <w:lvlText w:val="%9."/>
      <w:lvlJc w:val="right"/>
      <w:pPr>
        <w:ind w:left="7537" w:hanging="180"/>
      </w:pPr>
    </w:lvl>
  </w:abstractNum>
  <w:abstractNum w:abstractNumId="23">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4">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5"/>
  </w:num>
  <w:num w:numId="3">
    <w:abstractNumId w:val="4"/>
  </w:num>
  <w:num w:numId="4">
    <w:abstractNumId w:val="3"/>
  </w:num>
  <w:num w:numId="5">
    <w:abstractNumId w:val="24"/>
    <w:lvlOverride w:ilvl="0">
      <w:startOverride w:val="1"/>
    </w:lvlOverride>
  </w:num>
  <w:num w:numId="6">
    <w:abstractNumId w:val="6"/>
  </w:num>
  <w:num w:numId="7">
    <w:abstractNumId w:val="2"/>
  </w:num>
  <w:num w:numId="8">
    <w:abstractNumId w:val="1"/>
  </w:num>
  <w:num w:numId="9">
    <w:abstractNumId w:val="0"/>
  </w:num>
  <w:num w:numId="10">
    <w:abstractNumId w:val="20"/>
  </w:num>
  <w:num w:numId="11">
    <w:abstractNumId w:val="14"/>
  </w:num>
  <w:num w:numId="12">
    <w:abstractNumId w:val="23"/>
  </w:num>
  <w:num w:numId="13">
    <w:abstractNumId w:val="12"/>
  </w:num>
  <w:num w:numId="14">
    <w:abstractNumId w:val="15"/>
  </w:num>
  <w:num w:numId="15">
    <w:abstractNumId w:val="9"/>
  </w:num>
  <w:num w:numId="16">
    <w:abstractNumId w:val="21"/>
  </w:num>
  <w:num w:numId="17">
    <w:abstractNumId w:val="8"/>
  </w:num>
  <w:num w:numId="18">
    <w:abstractNumId w:val="16"/>
  </w:num>
  <w:num w:numId="19">
    <w:abstractNumId w:val="18"/>
  </w:num>
  <w:num w:numId="20">
    <w:abstractNumId w:val="19"/>
  </w:num>
  <w:num w:numId="21">
    <w:abstractNumId w:val="11"/>
  </w:num>
  <w:num w:numId="22">
    <w:abstractNumId w:val="17"/>
  </w:num>
  <w:num w:numId="23">
    <w:abstractNumId w:val="24"/>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10"/>
  </w:num>
  <w:num w:numId="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isplayBackgroundShape/>
  <w:activeWritingStyle w:appName="MSWord" w:lang="pt-PT" w:vendorID="64" w:dllVersion="131078" w:nlCheck="1" w:checkStyle="0"/>
  <w:activeWritingStyle w:appName="MSWord" w:lang="en-GB" w:vendorID="64" w:dllVersion="131078" w:nlCheck="1" w:checkStyle="1"/>
  <w:activeWritingStyle w:appName="MSWord" w:lang="fr-BE" w:vendorID="64" w:dllVersion="131078" w:nlCheck="1" w:checkStyle="1"/>
  <w:activeWritingStyle w:appName="MSWord" w:lang="en-US" w:vendorID="64" w:dllVersion="131078" w:nlCheck="1" w:checkStyle="1"/>
  <w:proofState w:spelling="clean" w:grammar="clean"/>
  <w:attachedTemplate r:id="rId1"/>
  <w:defaultTabStop w:val="720"/>
  <w:characterSpacingControl w:val="doNotCompress"/>
  <w:hdrShapeDefaults>
    <o:shapedefaults v:ext="edit" spidmax="114691"/>
    <o:shapelayout v:ext="edit">
      <o:idmap v:ext="edit" data="11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QCDateTime" w:val="2018-04-24 14:33:15"/>
    <w:docVar w:name="DQCHighlighting" w:val="100"/>
    <w:docVar w:name="DQCResult_Distribution" w:val="2;0"/>
    <w:docVar w:name="DQCResult_DocumentContent" w:val="0;0"/>
    <w:docVar w:name="DQCResult_DocumentSize" w:val="0;0"/>
    <w:docVar w:name="DQCResult_DocumentVersions" w:val="0;0"/>
    <w:docVar w:name="DQCResult_ExistenceOfMacros" w:val="0;0"/>
    <w:docVar w:name="DQCResult_InvalidFootnotes" w:val="0;0"/>
    <w:docVar w:name="DQCResult_LinkedStyles" w:val="0;0"/>
    <w:docVar w:name="DQCResult_ModifiedMargins" w:val="0;8"/>
    <w:docVar w:name="DQCResult_ModifiedMarkers" w:val="0;0"/>
    <w:docVar w:name="DQCResult_ModifiedNumbering" w:val="0;0"/>
    <w:docVar w:name="DQCResult_Objects" w:val="0;0"/>
    <w:docVar w:name="DQCResult_Sections" w:val="0;0"/>
    <w:docVar w:name="DQCResult_StructureCheck" w:val="0;0"/>
    <w:docVar w:name="DQCResult_SuperfluousWhitespace" w:val="0;1"/>
    <w:docVar w:name="DQCResult_UnknownFonts" w:val="0;0"/>
    <w:docVar w:name="DQCResult_UnknownStyles" w:val="0;0"/>
    <w:docVar w:name="DQCStatus" w:val="Red"/>
    <w:docVar w:name="DQCVersion" w:val="3"/>
    <w:docVar w:name="DQCWithWarnings" w:val="0"/>
    <w:docVar w:name="LW_COVERPAGE_EXISTS" w:val="True"/>
    <w:docVar w:name="LW_COVERPAGE_GUID" w:val="BC0C0054-35AA-4732-8B99-987C3EB1F3AE"/>
    <w:docVar w:name="LW_COVERPAGE_TYPE" w:val="3"/>
    <w:docVar w:name="LW_CROSSREFERENCE" w:val="&lt;UNUSED&gt;"/>
    <w:docVar w:name="LW_DATE.ADOPT.CP" w:val="of XXX"/>
    <w:docVar w:name="LW_DATE.ADOPT.CP_DATEFORMAT" w:val="of %DATE%"/>
    <w:docVar w:name="LW_DATE.ADOPT.CP_ISODATE" w:val="&lt;EMPTY&gt;"/>
    <w:docVar w:name="LW_DocType" w:val="COM"/>
    <w:docVar w:name="LW_EMISSION" w:val="&lt;EMPTY&gt;"/>
    <w:docVar w:name="LW_EMISSION_ISODATE" w:val="&lt;EMPTY&gt;"/>
    <w:docVar w:name="LW_EMISSION_LOCATION" w:val="BRX"/>
    <w:docVar w:name="LW_EMISSION_PREFIX" w:val="Brussels, "/>
    <w:docVar w:name="LW_EMISSION_SUFFIX" w:val=" "/>
    <w:docVar w:name="LW_ID_DOCMODEL" w:val="SJ-001"/>
    <w:docVar w:name="LW_ID_DOCSIGNATURE" w:val="SJ-001"/>
    <w:docVar w:name="LW_ID_DOCSTRUCTURE" w:val="COM/AA"/>
    <w:docVar w:name="LW_ID_DOCTYPE" w:val="SJ-001"/>
    <w:docVar w:name="LW_INTERETEEE.CP" w:val="(Text with EEA relevance)"/>
    <w:docVar w:name="LW_LANGUE" w:val="EN"/>
    <w:docVar w:name="LW_LANGUESFAISANTFOI.CP" w:val="&lt;UNUSED&gt;"/>
    <w:docVar w:name="LW_LEVEL_OF_SENSITIVITY" w:val="Standard treatment"/>
    <w:docVar w:name="LW_NOM.INST" w:val="EUROPEAN COMMISSION"/>
    <w:docVar w:name="LW_NOM.INST_JOINTDOC" w:val="&lt;EMPTY&gt;"/>
    <w:docVar w:name="LW_PART_NBR" w:val="1"/>
    <w:docVar w:name="LW_PART_NBR_TOTAL" w:val="1"/>
    <w:docVar w:name="LW_REF.INST.NEW" w:val="&lt;EMPTY&gt;"/>
    <w:docVar w:name="LW_REF.INST.NEW_ADOPTED" w:val="draft"/>
    <w:docVar w:name="LW_REF.INST.NEW_TEXT" w:val="(2019)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 xsi:nil=&quot;true&quot; /&gt;_x000d__x000a_  &lt;limited xsi:nil=&quot;true&quot; /&gt;_x000d__x000a_  &lt;detached xsi:nil=&quot;true&quot; /&gt;_x000d__x000a_  &lt;declassify xsi:nil=&quot;true&quot; /&gt;_x000d__x000a_  &lt;headerTexts xsi:nil=&quot;true&quot; /&gt;_x000d__x000a_  &lt;footerTexts xsi:nil=&quot;true&quot; /&gt;_x000d__x000a_  &lt;footnote xsi:nil=&quot;true&quot; /&gt;_x000d__x000a_  &lt;isRestricted&gt;false&lt;/isRestricted&gt;_x000d__x000a_&lt;/SensitivityLevel&gt;"/>
    <w:docVar w:name="LW_SOUS.TITRE.OBJ.CP" w:val="&lt;UNUSED&gt;"/>
    <w:docVar w:name="LW_SUPERTITRE" w:val="&lt;UNUSED&gt;"/>
    <w:docVar w:name="LW_TITRE.OBJ.CP" w:val="on amending Regulation (EU) 2015/1188 with regards to the ecodesign requirements for local space heaters"/>
    <w:docVar w:name="LW_TYPE.DOC.CP" w:val="COMMISSION REGULATION (EU) \u8230?/\u8230?"/>
  </w:docVars>
  <w:rsids>
    <w:rsidRoot w:val="00D363A1"/>
    <w:rsid w:val="0000053F"/>
    <w:rsid w:val="000147DF"/>
    <w:rsid w:val="0001493E"/>
    <w:rsid w:val="0002108B"/>
    <w:rsid w:val="00021B8C"/>
    <w:rsid w:val="00024A7B"/>
    <w:rsid w:val="00031147"/>
    <w:rsid w:val="000345C1"/>
    <w:rsid w:val="00036C46"/>
    <w:rsid w:val="000554B2"/>
    <w:rsid w:val="00064AE0"/>
    <w:rsid w:val="0006699D"/>
    <w:rsid w:val="000768FD"/>
    <w:rsid w:val="0008182B"/>
    <w:rsid w:val="0008413F"/>
    <w:rsid w:val="00086D1D"/>
    <w:rsid w:val="000A2BF5"/>
    <w:rsid w:val="000A6BA1"/>
    <w:rsid w:val="000B5391"/>
    <w:rsid w:val="000B7B05"/>
    <w:rsid w:val="000C5AED"/>
    <w:rsid w:val="000C7EF0"/>
    <w:rsid w:val="000D3B73"/>
    <w:rsid w:val="000D441C"/>
    <w:rsid w:val="000E13EC"/>
    <w:rsid w:val="000E402B"/>
    <w:rsid w:val="000E589C"/>
    <w:rsid w:val="000F374C"/>
    <w:rsid w:val="000F61EF"/>
    <w:rsid w:val="000F7CD2"/>
    <w:rsid w:val="00111FF8"/>
    <w:rsid w:val="0014052F"/>
    <w:rsid w:val="0014192C"/>
    <w:rsid w:val="00142CE0"/>
    <w:rsid w:val="00161300"/>
    <w:rsid w:val="00171635"/>
    <w:rsid w:val="0017222C"/>
    <w:rsid w:val="00185321"/>
    <w:rsid w:val="0019755B"/>
    <w:rsid w:val="001A25AE"/>
    <w:rsid w:val="001A4C19"/>
    <w:rsid w:val="001A6298"/>
    <w:rsid w:val="001A7A2C"/>
    <w:rsid w:val="001C5A8C"/>
    <w:rsid w:val="001D2734"/>
    <w:rsid w:val="001E67AD"/>
    <w:rsid w:val="001E7785"/>
    <w:rsid w:val="00215649"/>
    <w:rsid w:val="0021598B"/>
    <w:rsid w:val="0022292F"/>
    <w:rsid w:val="00222CD4"/>
    <w:rsid w:val="002313A0"/>
    <w:rsid w:val="00233EEC"/>
    <w:rsid w:val="002457E2"/>
    <w:rsid w:val="002462F5"/>
    <w:rsid w:val="0025005E"/>
    <w:rsid w:val="00251F17"/>
    <w:rsid w:val="00256802"/>
    <w:rsid w:val="00282970"/>
    <w:rsid w:val="00291C2F"/>
    <w:rsid w:val="00293275"/>
    <w:rsid w:val="00295AB5"/>
    <w:rsid w:val="002A5120"/>
    <w:rsid w:val="002B25EB"/>
    <w:rsid w:val="002B600B"/>
    <w:rsid w:val="002C1F6E"/>
    <w:rsid w:val="002D290A"/>
    <w:rsid w:val="002D31BD"/>
    <w:rsid w:val="002E25CC"/>
    <w:rsid w:val="002E3DC6"/>
    <w:rsid w:val="002F46AB"/>
    <w:rsid w:val="002F6610"/>
    <w:rsid w:val="003100A7"/>
    <w:rsid w:val="00325D2D"/>
    <w:rsid w:val="003311A4"/>
    <w:rsid w:val="003319A8"/>
    <w:rsid w:val="00332593"/>
    <w:rsid w:val="0034445E"/>
    <w:rsid w:val="00344BED"/>
    <w:rsid w:val="00345D5B"/>
    <w:rsid w:val="0034755D"/>
    <w:rsid w:val="00350098"/>
    <w:rsid w:val="0035571D"/>
    <w:rsid w:val="00360085"/>
    <w:rsid w:val="003661DA"/>
    <w:rsid w:val="003725C2"/>
    <w:rsid w:val="003973E9"/>
    <w:rsid w:val="003A633C"/>
    <w:rsid w:val="003B3685"/>
    <w:rsid w:val="003B6498"/>
    <w:rsid w:val="003C09FC"/>
    <w:rsid w:val="003C1F0C"/>
    <w:rsid w:val="003C30CB"/>
    <w:rsid w:val="003C33DE"/>
    <w:rsid w:val="003C4513"/>
    <w:rsid w:val="003C683B"/>
    <w:rsid w:val="003F62E2"/>
    <w:rsid w:val="00400626"/>
    <w:rsid w:val="00421F7D"/>
    <w:rsid w:val="0045302D"/>
    <w:rsid w:val="004554C9"/>
    <w:rsid w:val="00460C9F"/>
    <w:rsid w:val="004625F0"/>
    <w:rsid w:val="00464D02"/>
    <w:rsid w:val="00465AC7"/>
    <w:rsid w:val="00471E5F"/>
    <w:rsid w:val="00476372"/>
    <w:rsid w:val="00477772"/>
    <w:rsid w:val="004911AB"/>
    <w:rsid w:val="00492056"/>
    <w:rsid w:val="00494FEB"/>
    <w:rsid w:val="0049623B"/>
    <w:rsid w:val="004A0CEC"/>
    <w:rsid w:val="004A1177"/>
    <w:rsid w:val="004B0456"/>
    <w:rsid w:val="004B0554"/>
    <w:rsid w:val="004B2C4E"/>
    <w:rsid w:val="004C1309"/>
    <w:rsid w:val="004C256B"/>
    <w:rsid w:val="004C3947"/>
    <w:rsid w:val="004D60C9"/>
    <w:rsid w:val="004D60F7"/>
    <w:rsid w:val="004D64C1"/>
    <w:rsid w:val="004E5301"/>
    <w:rsid w:val="004E5841"/>
    <w:rsid w:val="004F5637"/>
    <w:rsid w:val="004F5C7C"/>
    <w:rsid w:val="004F6AEB"/>
    <w:rsid w:val="0050174F"/>
    <w:rsid w:val="00533F3A"/>
    <w:rsid w:val="00535973"/>
    <w:rsid w:val="00545F28"/>
    <w:rsid w:val="00546A72"/>
    <w:rsid w:val="005639FA"/>
    <w:rsid w:val="005652D4"/>
    <w:rsid w:val="00570398"/>
    <w:rsid w:val="005728F3"/>
    <w:rsid w:val="005754EF"/>
    <w:rsid w:val="00581C97"/>
    <w:rsid w:val="00583B9D"/>
    <w:rsid w:val="005B20DD"/>
    <w:rsid w:val="005B7810"/>
    <w:rsid w:val="005C29AB"/>
    <w:rsid w:val="005C3CFF"/>
    <w:rsid w:val="005D5203"/>
    <w:rsid w:val="005E7A21"/>
    <w:rsid w:val="00601672"/>
    <w:rsid w:val="006114D3"/>
    <w:rsid w:val="0061417A"/>
    <w:rsid w:val="00625B2F"/>
    <w:rsid w:val="006304F6"/>
    <w:rsid w:val="00633935"/>
    <w:rsid w:val="00635CE0"/>
    <w:rsid w:val="006448A6"/>
    <w:rsid w:val="00657569"/>
    <w:rsid w:val="0065790F"/>
    <w:rsid w:val="00663638"/>
    <w:rsid w:val="006637BA"/>
    <w:rsid w:val="00667CCB"/>
    <w:rsid w:val="00673264"/>
    <w:rsid w:val="00675C73"/>
    <w:rsid w:val="00675EE1"/>
    <w:rsid w:val="006B0920"/>
    <w:rsid w:val="006B3D3C"/>
    <w:rsid w:val="006C34C0"/>
    <w:rsid w:val="006D3527"/>
    <w:rsid w:val="006E202F"/>
    <w:rsid w:val="006E6EFA"/>
    <w:rsid w:val="006F6A85"/>
    <w:rsid w:val="007036B0"/>
    <w:rsid w:val="00715D61"/>
    <w:rsid w:val="00717075"/>
    <w:rsid w:val="0073119B"/>
    <w:rsid w:val="007369B0"/>
    <w:rsid w:val="00751070"/>
    <w:rsid w:val="00757B63"/>
    <w:rsid w:val="00764481"/>
    <w:rsid w:val="007646AF"/>
    <w:rsid w:val="0077536F"/>
    <w:rsid w:val="00793302"/>
    <w:rsid w:val="007978BA"/>
    <w:rsid w:val="007A3514"/>
    <w:rsid w:val="007B4684"/>
    <w:rsid w:val="007B69C7"/>
    <w:rsid w:val="007D53B6"/>
    <w:rsid w:val="007D77A0"/>
    <w:rsid w:val="007E0E6D"/>
    <w:rsid w:val="007E4F77"/>
    <w:rsid w:val="007E514D"/>
    <w:rsid w:val="007E7196"/>
    <w:rsid w:val="007E72DC"/>
    <w:rsid w:val="007F682C"/>
    <w:rsid w:val="007F7FA9"/>
    <w:rsid w:val="008112C6"/>
    <w:rsid w:val="00813F69"/>
    <w:rsid w:val="00820527"/>
    <w:rsid w:val="00826354"/>
    <w:rsid w:val="008301A5"/>
    <w:rsid w:val="00835317"/>
    <w:rsid w:val="00842411"/>
    <w:rsid w:val="00842BC8"/>
    <w:rsid w:val="008443E6"/>
    <w:rsid w:val="00854ECF"/>
    <w:rsid w:val="00856B1E"/>
    <w:rsid w:val="00856B9F"/>
    <w:rsid w:val="00857992"/>
    <w:rsid w:val="008616E5"/>
    <w:rsid w:val="008640C1"/>
    <w:rsid w:val="00866F4B"/>
    <w:rsid w:val="008671E3"/>
    <w:rsid w:val="0088208A"/>
    <w:rsid w:val="008947EE"/>
    <w:rsid w:val="008A79EC"/>
    <w:rsid w:val="008B219D"/>
    <w:rsid w:val="008D0112"/>
    <w:rsid w:val="008D0E96"/>
    <w:rsid w:val="008F4F37"/>
    <w:rsid w:val="008F5261"/>
    <w:rsid w:val="009122FA"/>
    <w:rsid w:val="0092218A"/>
    <w:rsid w:val="00924DE7"/>
    <w:rsid w:val="00932C4B"/>
    <w:rsid w:val="009369DA"/>
    <w:rsid w:val="00940765"/>
    <w:rsid w:val="0095391D"/>
    <w:rsid w:val="009619F7"/>
    <w:rsid w:val="009715E1"/>
    <w:rsid w:val="0098398E"/>
    <w:rsid w:val="00984ABF"/>
    <w:rsid w:val="0099240F"/>
    <w:rsid w:val="009A680D"/>
    <w:rsid w:val="009D74AA"/>
    <w:rsid w:val="009E2F58"/>
    <w:rsid w:val="009E76DF"/>
    <w:rsid w:val="009F78FA"/>
    <w:rsid w:val="00A01852"/>
    <w:rsid w:val="00A1194C"/>
    <w:rsid w:val="00A12384"/>
    <w:rsid w:val="00A32D4E"/>
    <w:rsid w:val="00A34DEE"/>
    <w:rsid w:val="00A4277E"/>
    <w:rsid w:val="00A465B7"/>
    <w:rsid w:val="00A77506"/>
    <w:rsid w:val="00A77888"/>
    <w:rsid w:val="00A77FB8"/>
    <w:rsid w:val="00A82101"/>
    <w:rsid w:val="00A83517"/>
    <w:rsid w:val="00A8443E"/>
    <w:rsid w:val="00A864A2"/>
    <w:rsid w:val="00A91145"/>
    <w:rsid w:val="00A93238"/>
    <w:rsid w:val="00A93B83"/>
    <w:rsid w:val="00A94DA6"/>
    <w:rsid w:val="00AA0440"/>
    <w:rsid w:val="00AA1627"/>
    <w:rsid w:val="00AA55BF"/>
    <w:rsid w:val="00AB6179"/>
    <w:rsid w:val="00AD0D1D"/>
    <w:rsid w:val="00AD198E"/>
    <w:rsid w:val="00AF348C"/>
    <w:rsid w:val="00B00DE0"/>
    <w:rsid w:val="00B04DCA"/>
    <w:rsid w:val="00B13A73"/>
    <w:rsid w:val="00B44CFD"/>
    <w:rsid w:val="00B5618F"/>
    <w:rsid w:val="00B634DE"/>
    <w:rsid w:val="00B649BA"/>
    <w:rsid w:val="00B72909"/>
    <w:rsid w:val="00B82E61"/>
    <w:rsid w:val="00B950DA"/>
    <w:rsid w:val="00BA0450"/>
    <w:rsid w:val="00BC5DF9"/>
    <w:rsid w:val="00BD01F6"/>
    <w:rsid w:val="00BD033C"/>
    <w:rsid w:val="00BD1051"/>
    <w:rsid w:val="00BF03B0"/>
    <w:rsid w:val="00BF529D"/>
    <w:rsid w:val="00C00FBA"/>
    <w:rsid w:val="00C120E1"/>
    <w:rsid w:val="00C16C28"/>
    <w:rsid w:val="00C2784A"/>
    <w:rsid w:val="00C31EAD"/>
    <w:rsid w:val="00C5520E"/>
    <w:rsid w:val="00C64113"/>
    <w:rsid w:val="00C7211C"/>
    <w:rsid w:val="00C7758D"/>
    <w:rsid w:val="00C809B6"/>
    <w:rsid w:val="00C84E8A"/>
    <w:rsid w:val="00CA2B06"/>
    <w:rsid w:val="00CB3F7E"/>
    <w:rsid w:val="00CB43BD"/>
    <w:rsid w:val="00CC0365"/>
    <w:rsid w:val="00CC23E6"/>
    <w:rsid w:val="00CD38ED"/>
    <w:rsid w:val="00CD586B"/>
    <w:rsid w:val="00CD7779"/>
    <w:rsid w:val="00D0687B"/>
    <w:rsid w:val="00D1006F"/>
    <w:rsid w:val="00D1078E"/>
    <w:rsid w:val="00D1636C"/>
    <w:rsid w:val="00D16779"/>
    <w:rsid w:val="00D21380"/>
    <w:rsid w:val="00D22B8B"/>
    <w:rsid w:val="00D25F6B"/>
    <w:rsid w:val="00D32469"/>
    <w:rsid w:val="00D3359D"/>
    <w:rsid w:val="00D363A1"/>
    <w:rsid w:val="00D42466"/>
    <w:rsid w:val="00D44E01"/>
    <w:rsid w:val="00D54FA8"/>
    <w:rsid w:val="00D637EE"/>
    <w:rsid w:val="00D660D4"/>
    <w:rsid w:val="00D73289"/>
    <w:rsid w:val="00D737D0"/>
    <w:rsid w:val="00D96DBD"/>
    <w:rsid w:val="00D96EF5"/>
    <w:rsid w:val="00DA33F9"/>
    <w:rsid w:val="00DB5EF5"/>
    <w:rsid w:val="00DC2257"/>
    <w:rsid w:val="00DC4B5A"/>
    <w:rsid w:val="00DC68BE"/>
    <w:rsid w:val="00DD4FCE"/>
    <w:rsid w:val="00DF2F69"/>
    <w:rsid w:val="00E20017"/>
    <w:rsid w:val="00E22332"/>
    <w:rsid w:val="00E306D5"/>
    <w:rsid w:val="00E61B4E"/>
    <w:rsid w:val="00E61FC7"/>
    <w:rsid w:val="00E62F59"/>
    <w:rsid w:val="00E730B7"/>
    <w:rsid w:val="00EA445A"/>
    <w:rsid w:val="00EB2BE4"/>
    <w:rsid w:val="00EC3447"/>
    <w:rsid w:val="00ED4DDA"/>
    <w:rsid w:val="00EE2C21"/>
    <w:rsid w:val="00EE71E8"/>
    <w:rsid w:val="00EF602C"/>
    <w:rsid w:val="00F077D2"/>
    <w:rsid w:val="00F07EA7"/>
    <w:rsid w:val="00F14340"/>
    <w:rsid w:val="00F16C06"/>
    <w:rsid w:val="00F17593"/>
    <w:rsid w:val="00F2628C"/>
    <w:rsid w:val="00F26AA4"/>
    <w:rsid w:val="00F35B5C"/>
    <w:rsid w:val="00F3661E"/>
    <w:rsid w:val="00F43F07"/>
    <w:rsid w:val="00F533D7"/>
    <w:rsid w:val="00F54294"/>
    <w:rsid w:val="00F63D89"/>
    <w:rsid w:val="00F675B3"/>
    <w:rsid w:val="00F711D2"/>
    <w:rsid w:val="00F72174"/>
    <w:rsid w:val="00F87183"/>
    <w:rsid w:val="00FA4147"/>
    <w:rsid w:val="00FA6B88"/>
    <w:rsid w:val="00FB3140"/>
    <w:rsid w:val="00FB57A6"/>
    <w:rsid w:val="00FB588D"/>
    <w:rsid w:val="00FC4192"/>
    <w:rsid w:val="00FD768B"/>
    <w:rsid w:val="00FE09D3"/>
    <w:rsid w:val="00FE48CA"/>
    <w:rsid w:val="00FE79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4691"/>
    <o:shapelayout v:ext="edit">
      <o:idmap v:ext="edit" data="1"/>
    </o:shapelayout>
  </w:shapeDefaults>
  <w:decimalSymbol w:val="."/>
  <w:listSeparator w:val=";"/>
  <w14:docId w14:val="5867C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lang w:val="en-GB"/>
    </w:rPr>
  </w:style>
  <w:style w:type="paragraph" w:styleId="Heading1">
    <w:name w:val="heading 1"/>
    <w:basedOn w:val="Normal"/>
    <w:next w:val="Text1"/>
    <w:link w:val="Heading1Char"/>
    <w:uiPriority w:val="9"/>
    <w:qFormat/>
    <w:rsid w:val="00877878"/>
    <w:pPr>
      <w:keepNext/>
      <w:numPr>
        <w:numId w:val="16"/>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877878"/>
    <w:pPr>
      <w:keepNext/>
      <w:numPr>
        <w:ilvl w:val="1"/>
        <w:numId w:val="16"/>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877878"/>
    <w:pPr>
      <w:keepNext/>
      <w:numPr>
        <w:ilvl w:val="2"/>
        <w:numId w:val="16"/>
      </w:numPr>
      <w:outlineLvl w:val="2"/>
    </w:pPr>
    <w:rPr>
      <w:rFonts w:eastAsiaTheme="majorEastAsia"/>
      <w:bCs/>
      <w:i/>
    </w:rPr>
  </w:style>
  <w:style w:type="paragraph" w:styleId="Heading4">
    <w:name w:val="heading 4"/>
    <w:basedOn w:val="Normal"/>
    <w:next w:val="Text1"/>
    <w:link w:val="Heading4Char"/>
    <w:uiPriority w:val="9"/>
    <w:semiHidden/>
    <w:unhideWhenUsed/>
    <w:qFormat/>
    <w:rsid w:val="00877878"/>
    <w:pPr>
      <w:keepNext/>
      <w:numPr>
        <w:ilvl w:val="3"/>
        <w:numId w:val="16"/>
      </w:numPr>
      <w:outlineLvl w:val="3"/>
    </w:pPr>
    <w:rPr>
      <w:rFonts w:eastAsiaTheme="majorEastAsia"/>
      <w:bCs/>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ous-titreobjet">
    <w:name w:val="Sous-titre objet"/>
    <w:basedOn w:val="Normal"/>
    <w:rsid w:val="007D53B6"/>
    <w:pPr>
      <w:spacing w:before="0" w:after="0"/>
      <w:jc w:val="center"/>
    </w:pPr>
    <w:rPr>
      <w:b/>
    </w:rPr>
  </w:style>
  <w:style w:type="paragraph" w:customStyle="1" w:styleId="Sous-titreobjetPagedecouverture">
    <w:name w:val="Sous-titre objet (Page de couverture)"/>
    <w:basedOn w:val="Sous-titreobjet"/>
    <w:rsid w:val="007D53B6"/>
  </w:style>
  <w:style w:type="paragraph" w:styleId="ListBullet">
    <w:name w:val="List Bullet"/>
    <w:basedOn w:val="Normal"/>
    <w:uiPriority w:val="99"/>
    <w:semiHidden/>
    <w:unhideWhenUsed/>
    <w:rsid w:val="004911AB"/>
    <w:pPr>
      <w:numPr>
        <w:numId w:val="1"/>
      </w:numPr>
      <w:contextualSpacing/>
    </w:pPr>
  </w:style>
  <w:style w:type="paragraph" w:styleId="ListBullet2">
    <w:name w:val="List Bullet 2"/>
    <w:basedOn w:val="Normal"/>
    <w:uiPriority w:val="99"/>
    <w:semiHidden/>
    <w:unhideWhenUsed/>
    <w:rsid w:val="004911AB"/>
    <w:pPr>
      <w:numPr>
        <w:numId w:val="2"/>
      </w:numPr>
      <w:contextualSpacing/>
    </w:pPr>
  </w:style>
  <w:style w:type="paragraph" w:styleId="ListBullet3">
    <w:name w:val="List Bullet 3"/>
    <w:basedOn w:val="Normal"/>
    <w:uiPriority w:val="99"/>
    <w:semiHidden/>
    <w:unhideWhenUsed/>
    <w:rsid w:val="004911AB"/>
    <w:pPr>
      <w:numPr>
        <w:numId w:val="3"/>
      </w:numPr>
      <w:contextualSpacing/>
    </w:pPr>
  </w:style>
  <w:style w:type="paragraph" w:styleId="ListBullet4">
    <w:name w:val="List Bullet 4"/>
    <w:basedOn w:val="Normal"/>
    <w:uiPriority w:val="99"/>
    <w:semiHidden/>
    <w:unhideWhenUsed/>
    <w:rsid w:val="004911AB"/>
    <w:pPr>
      <w:numPr>
        <w:numId w:val="4"/>
      </w:numPr>
      <w:contextualSpacing/>
    </w:pPr>
  </w:style>
  <w:style w:type="paragraph" w:styleId="ListParagraph">
    <w:name w:val="List Paragraph"/>
    <w:aliases w:val="List Passage,Paragraph,Paragraphe de liste PBLH,Normal bullet 2,Bullet list,Figure_name,Equipment,Numbered Indented Text,List Paragraph1,lp1,List Paragraph11,List Paragraph Char Char Char,List Paragraph Char Char,Citation List"/>
    <w:basedOn w:val="Normal"/>
    <w:link w:val="ListParagraphChar"/>
    <w:uiPriority w:val="34"/>
    <w:qFormat/>
    <w:rsid w:val="006637BA"/>
    <w:pPr>
      <w:spacing w:before="0" w:after="200" w:line="276" w:lineRule="auto"/>
      <w:ind w:left="720"/>
      <w:contextualSpacing/>
      <w:jc w:val="left"/>
    </w:pPr>
    <w:rPr>
      <w:rFonts w:eastAsia="Calibri"/>
      <w:sz w:val="22"/>
    </w:rPr>
  </w:style>
  <w:style w:type="character" w:styleId="CommentReference">
    <w:name w:val="annotation reference"/>
    <w:basedOn w:val="DefaultParagraphFont"/>
    <w:uiPriority w:val="99"/>
    <w:semiHidden/>
    <w:unhideWhenUsed/>
    <w:rsid w:val="00F533D7"/>
    <w:rPr>
      <w:sz w:val="16"/>
      <w:szCs w:val="16"/>
    </w:rPr>
  </w:style>
  <w:style w:type="paragraph" w:styleId="CommentText">
    <w:name w:val="annotation text"/>
    <w:basedOn w:val="Normal"/>
    <w:link w:val="CommentTextChar"/>
    <w:uiPriority w:val="99"/>
    <w:unhideWhenUsed/>
    <w:rsid w:val="00F533D7"/>
    <w:rPr>
      <w:sz w:val="20"/>
      <w:szCs w:val="20"/>
    </w:rPr>
  </w:style>
  <w:style w:type="character" w:customStyle="1" w:styleId="CommentTextChar">
    <w:name w:val="Comment Text Char"/>
    <w:basedOn w:val="DefaultParagraphFont"/>
    <w:link w:val="CommentText"/>
    <w:uiPriority w:val="99"/>
    <w:rsid w:val="00F533D7"/>
    <w:rPr>
      <w:rFonts w:ascii="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F533D7"/>
    <w:rPr>
      <w:b/>
      <w:bCs/>
    </w:rPr>
  </w:style>
  <w:style w:type="character" w:customStyle="1" w:styleId="CommentSubjectChar">
    <w:name w:val="Comment Subject Char"/>
    <w:basedOn w:val="CommentTextChar"/>
    <w:link w:val="CommentSubject"/>
    <w:uiPriority w:val="99"/>
    <w:semiHidden/>
    <w:rsid w:val="00F533D7"/>
    <w:rPr>
      <w:rFonts w:ascii="Times New Roman" w:hAnsi="Times New Roman" w:cs="Times New Roman"/>
      <w:b/>
      <w:bCs/>
      <w:sz w:val="20"/>
      <w:szCs w:val="20"/>
      <w:lang w:val="en-GB"/>
    </w:rPr>
  </w:style>
  <w:style w:type="paragraph" w:styleId="BalloonText">
    <w:name w:val="Balloon Text"/>
    <w:basedOn w:val="Normal"/>
    <w:link w:val="BalloonTextChar"/>
    <w:uiPriority w:val="99"/>
    <w:semiHidden/>
    <w:unhideWhenUsed/>
    <w:rsid w:val="00F533D7"/>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33D7"/>
    <w:rPr>
      <w:rFonts w:ascii="Tahoma" w:hAnsi="Tahoma" w:cs="Tahoma"/>
      <w:sz w:val="16"/>
      <w:szCs w:val="16"/>
      <w:lang w:val="en-GB"/>
    </w:rPr>
  </w:style>
  <w:style w:type="paragraph" w:styleId="Revision">
    <w:name w:val="Revision"/>
    <w:hidden/>
    <w:uiPriority w:val="99"/>
    <w:semiHidden/>
    <w:rsid w:val="00F533D7"/>
    <w:pPr>
      <w:spacing w:after="0" w:line="240" w:lineRule="auto"/>
    </w:pPr>
    <w:rPr>
      <w:rFonts w:ascii="Times New Roman" w:hAnsi="Times New Roman" w:cs="Times New Roman"/>
      <w:sz w:val="24"/>
      <w:lang w:val="en-GB"/>
    </w:rPr>
  </w:style>
  <w:style w:type="character" w:styleId="Strong">
    <w:name w:val="Strong"/>
    <w:basedOn w:val="DefaultParagraphFont"/>
    <w:uiPriority w:val="22"/>
    <w:qFormat/>
    <w:rsid w:val="005C3CFF"/>
    <w:rPr>
      <w:b/>
      <w:bCs/>
    </w:rPr>
  </w:style>
  <w:style w:type="paragraph" w:customStyle="1" w:styleId="Default">
    <w:name w:val="Default"/>
    <w:rsid w:val="001E67AD"/>
    <w:pPr>
      <w:autoSpaceDE w:val="0"/>
      <w:autoSpaceDN w:val="0"/>
      <w:adjustRightInd w:val="0"/>
      <w:spacing w:after="0" w:line="240" w:lineRule="auto"/>
    </w:pPr>
    <w:rPr>
      <w:rFonts w:ascii="EUAlbertina" w:hAnsi="EUAlbertina" w:cs="EUAlbertina"/>
      <w:color w:val="000000"/>
      <w:sz w:val="24"/>
      <w:szCs w:val="24"/>
      <w:lang w:val="en-GB"/>
    </w:rPr>
  </w:style>
  <w:style w:type="paragraph" w:styleId="Caption">
    <w:name w:val="caption"/>
    <w:basedOn w:val="Normal"/>
    <w:next w:val="Normal"/>
    <w:uiPriority w:val="35"/>
    <w:semiHidden/>
    <w:unhideWhenUsed/>
    <w:qFormat/>
    <w:rsid w:val="00291C2F"/>
    <w:pPr>
      <w:spacing w:before="0" w:after="200"/>
    </w:pPr>
    <w:rPr>
      <w:b/>
      <w:bCs/>
      <w:color w:val="4F81BD" w:themeColor="accent1"/>
      <w:sz w:val="18"/>
      <w:szCs w:val="18"/>
    </w:rPr>
  </w:style>
  <w:style w:type="paragraph" w:styleId="TableofFigures">
    <w:name w:val="table of figures"/>
    <w:basedOn w:val="Normal"/>
    <w:next w:val="Normal"/>
    <w:uiPriority w:val="99"/>
    <w:semiHidden/>
    <w:unhideWhenUsed/>
    <w:rsid w:val="00291C2F"/>
    <w:pPr>
      <w:spacing w:after="0"/>
    </w:pPr>
  </w:style>
  <w:style w:type="paragraph" w:styleId="ListNumber">
    <w:name w:val="List Number"/>
    <w:basedOn w:val="Normal"/>
    <w:uiPriority w:val="99"/>
    <w:semiHidden/>
    <w:unhideWhenUsed/>
    <w:rsid w:val="00291C2F"/>
    <w:pPr>
      <w:numPr>
        <w:numId w:val="6"/>
      </w:numPr>
      <w:contextualSpacing/>
    </w:pPr>
  </w:style>
  <w:style w:type="paragraph" w:styleId="ListNumber2">
    <w:name w:val="List Number 2"/>
    <w:basedOn w:val="Normal"/>
    <w:uiPriority w:val="99"/>
    <w:semiHidden/>
    <w:unhideWhenUsed/>
    <w:rsid w:val="00291C2F"/>
    <w:pPr>
      <w:numPr>
        <w:numId w:val="7"/>
      </w:numPr>
      <w:contextualSpacing/>
    </w:pPr>
  </w:style>
  <w:style w:type="paragraph" w:styleId="ListNumber3">
    <w:name w:val="List Number 3"/>
    <w:basedOn w:val="Normal"/>
    <w:uiPriority w:val="99"/>
    <w:semiHidden/>
    <w:unhideWhenUsed/>
    <w:rsid w:val="00291C2F"/>
    <w:pPr>
      <w:numPr>
        <w:numId w:val="8"/>
      </w:numPr>
      <w:contextualSpacing/>
    </w:pPr>
  </w:style>
  <w:style w:type="paragraph" w:styleId="ListNumber4">
    <w:name w:val="List Number 4"/>
    <w:basedOn w:val="Normal"/>
    <w:uiPriority w:val="99"/>
    <w:semiHidden/>
    <w:unhideWhenUsed/>
    <w:rsid w:val="00291C2F"/>
    <w:pPr>
      <w:numPr>
        <w:numId w:val="9"/>
      </w:numPr>
      <w:contextualSpacing/>
    </w:pPr>
  </w:style>
  <w:style w:type="character" w:styleId="Hyperlink">
    <w:name w:val="Hyperlink"/>
    <w:basedOn w:val="DefaultParagraphFont"/>
    <w:uiPriority w:val="99"/>
    <w:unhideWhenUsed/>
    <w:rsid w:val="00EF602C"/>
    <w:rPr>
      <w:color w:val="0000FF" w:themeColor="hyperlink"/>
      <w:u w:val="single"/>
    </w:rPr>
  </w:style>
  <w:style w:type="paragraph" w:styleId="Header">
    <w:name w:val="header"/>
    <w:basedOn w:val="Normal"/>
    <w:link w:val="HeaderChar"/>
    <w:uiPriority w:val="99"/>
    <w:unhideWhenUsed/>
    <w:rsid w:val="00036C46"/>
    <w:pPr>
      <w:tabs>
        <w:tab w:val="center" w:pos="4535"/>
        <w:tab w:val="right" w:pos="9071"/>
      </w:tabs>
      <w:spacing w:before="0"/>
    </w:pPr>
  </w:style>
  <w:style w:type="character" w:customStyle="1" w:styleId="HeaderChar">
    <w:name w:val="Header Char"/>
    <w:basedOn w:val="DefaultParagraphFont"/>
    <w:link w:val="Header"/>
    <w:uiPriority w:val="99"/>
    <w:rsid w:val="00036C46"/>
    <w:rPr>
      <w:rFonts w:ascii="Times New Roman" w:hAnsi="Times New Roman" w:cs="Times New Roman"/>
      <w:sz w:val="24"/>
      <w:lang w:val="en-GB"/>
    </w:rPr>
  </w:style>
  <w:style w:type="paragraph" w:styleId="Footer">
    <w:name w:val="footer"/>
    <w:basedOn w:val="Normal"/>
    <w:link w:val="FooterChar"/>
    <w:uiPriority w:val="99"/>
    <w:unhideWhenUsed/>
    <w:rsid w:val="00036C46"/>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036C46"/>
    <w:rPr>
      <w:rFonts w:ascii="Times New Roman" w:hAnsi="Times New Roman" w:cs="Times New Roman"/>
      <w:sz w:val="24"/>
      <w:lang w:val="en-GB"/>
    </w:rPr>
  </w:style>
  <w:style w:type="paragraph" w:styleId="FootnoteText">
    <w:name w:val="footnote text"/>
    <w:basedOn w:val="Normal"/>
    <w:link w:val="FootnoteTextChar"/>
    <w:uiPriority w:val="99"/>
    <w:semiHidden/>
    <w:unhideWhenUsed/>
    <w:rsid w:val="0087787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87787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87787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87787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87787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87787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877878"/>
    <w:pPr>
      <w:spacing w:after="240"/>
      <w:jc w:val="center"/>
    </w:pPr>
    <w:rPr>
      <w:b/>
      <w:sz w:val="28"/>
    </w:rPr>
  </w:style>
  <w:style w:type="paragraph" w:styleId="TOC1">
    <w:name w:val="toc 1"/>
    <w:basedOn w:val="Normal"/>
    <w:next w:val="Normal"/>
    <w:uiPriority w:val="39"/>
    <w:semiHidden/>
    <w:unhideWhenUsed/>
    <w:rsid w:val="00877878"/>
    <w:pPr>
      <w:tabs>
        <w:tab w:val="right" w:leader="dot" w:pos="9071"/>
      </w:tabs>
      <w:spacing w:before="60"/>
      <w:ind w:left="850" w:hanging="850"/>
      <w:jc w:val="left"/>
    </w:pPr>
  </w:style>
  <w:style w:type="paragraph" w:styleId="TOC2">
    <w:name w:val="toc 2"/>
    <w:basedOn w:val="Normal"/>
    <w:next w:val="Normal"/>
    <w:uiPriority w:val="39"/>
    <w:semiHidden/>
    <w:unhideWhenUsed/>
    <w:rsid w:val="00877878"/>
    <w:pPr>
      <w:tabs>
        <w:tab w:val="right" w:leader="dot" w:pos="9071"/>
      </w:tabs>
      <w:spacing w:before="60"/>
      <w:ind w:left="850" w:hanging="850"/>
      <w:jc w:val="left"/>
    </w:pPr>
  </w:style>
  <w:style w:type="paragraph" w:styleId="TOC3">
    <w:name w:val="toc 3"/>
    <w:basedOn w:val="Normal"/>
    <w:next w:val="Normal"/>
    <w:uiPriority w:val="39"/>
    <w:semiHidden/>
    <w:unhideWhenUsed/>
    <w:rsid w:val="00877878"/>
    <w:pPr>
      <w:tabs>
        <w:tab w:val="right" w:leader="dot" w:pos="9071"/>
      </w:tabs>
      <w:spacing w:before="60"/>
      <w:ind w:left="850" w:hanging="850"/>
      <w:jc w:val="left"/>
    </w:pPr>
  </w:style>
  <w:style w:type="paragraph" w:styleId="TOC4">
    <w:name w:val="toc 4"/>
    <w:basedOn w:val="Normal"/>
    <w:next w:val="Normal"/>
    <w:uiPriority w:val="39"/>
    <w:semiHidden/>
    <w:unhideWhenUsed/>
    <w:rsid w:val="00877878"/>
    <w:pPr>
      <w:tabs>
        <w:tab w:val="right" w:leader="dot" w:pos="9071"/>
      </w:tabs>
      <w:spacing w:before="60"/>
      <w:ind w:left="850" w:hanging="850"/>
      <w:jc w:val="left"/>
    </w:pPr>
  </w:style>
  <w:style w:type="paragraph" w:styleId="TOC5">
    <w:name w:val="toc 5"/>
    <w:basedOn w:val="Normal"/>
    <w:next w:val="Normal"/>
    <w:uiPriority w:val="39"/>
    <w:semiHidden/>
    <w:unhideWhenUsed/>
    <w:rsid w:val="00877878"/>
    <w:pPr>
      <w:tabs>
        <w:tab w:val="right" w:leader="dot" w:pos="9071"/>
      </w:tabs>
      <w:spacing w:before="300"/>
      <w:jc w:val="left"/>
    </w:pPr>
  </w:style>
  <w:style w:type="paragraph" w:styleId="TOC6">
    <w:name w:val="toc 6"/>
    <w:basedOn w:val="Normal"/>
    <w:next w:val="Normal"/>
    <w:uiPriority w:val="39"/>
    <w:semiHidden/>
    <w:unhideWhenUsed/>
    <w:rsid w:val="00877878"/>
    <w:pPr>
      <w:tabs>
        <w:tab w:val="right" w:leader="dot" w:pos="9071"/>
      </w:tabs>
      <w:spacing w:before="240"/>
      <w:jc w:val="left"/>
    </w:pPr>
  </w:style>
  <w:style w:type="paragraph" w:styleId="TOC7">
    <w:name w:val="toc 7"/>
    <w:basedOn w:val="Normal"/>
    <w:next w:val="Normal"/>
    <w:uiPriority w:val="39"/>
    <w:semiHidden/>
    <w:unhideWhenUsed/>
    <w:rsid w:val="00877878"/>
    <w:pPr>
      <w:tabs>
        <w:tab w:val="right" w:leader="dot" w:pos="9071"/>
      </w:tabs>
      <w:spacing w:before="180"/>
      <w:jc w:val="left"/>
    </w:pPr>
  </w:style>
  <w:style w:type="paragraph" w:styleId="TOC8">
    <w:name w:val="toc 8"/>
    <w:basedOn w:val="Normal"/>
    <w:next w:val="Normal"/>
    <w:uiPriority w:val="39"/>
    <w:semiHidden/>
    <w:unhideWhenUsed/>
    <w:rsid w:val="00877878"/>
    <w:pPr>
      <w:tabs>
        <w:tab w:val="right" w:leader="dot" w:pos="9071"/>
      </w:tabs>
      <w:jc w:val="left"/>
    </w:pPr>
  </w:style>
  <w:style w:type="paragraph" w:styleId="TOC9">
    <w:name w:val="toc 9"/>
    <w:basedOn w:val="Normal"/>
    <w:next w:val="Normal"/>
    <w:uiPriority w:val="39"/>
    <w:semiHidden/>
    <w:unhideWhenUsed/>
    <w:rsid w:val="00877878"/>
    <w:pPr>
      <w:tabs>
        <w:tab w:val="right" w:leader="dot" w:pos="9071"/>
      </w:tabs>
    </w:pPr>
  </w:style>
  <w:style w:type="paragraph" w:customStyle="1" w:styleId="HeaderLandscape">
    <w:name w:val="HeaderLandscape"/>
    <w:basedOn w:val="Normal"/>
    <w:rsid w:val="00036C46"/>
    <w:pPr>
      <w:tabs>
        <w:tab w:val="center" w:pos="7285"/>
        <w:tab w:val="right" w:pos="14003"/>
      </w:tabs>
      <w:spacing w:before="0"/>
    </w:pPr>
  </w:style>
  <w:style w:type="paragraph" w:customStyle="1" w:styleId="FooterLandscape">
    <w:name w:val="FooterLandscape"/>
    <w:basedOn w:val="Normal"/>
    <w:rsid w:val="00036C46"/>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877878"/>
    <w:rPr>
      <w:shd w:val="clear" w:color="auto" w:fill="auto"/>
      <w:vertAlign w:val="superscript"/>
    </w:rPr>
  </w:style>
  <w:style w:type="paragraph" w:customStyle="1" w:styleId="HeaderSensitivity">
    <w:name w:val="Header Sensitivity"/>
    <w:basedOn w:val="Normal"/>
    <w:rsid w:val="00036C46"/>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FooterSensitivity">
    <w:name w:val="Footer Sensitivity"/>
    <w:basedOn w:val="Normal"/>
    <w:rsid w:val="00036C46"/>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877878"/>
    <w:pPr>
      <w:ind w:left="850"/>
    </w:pPr>
  </w:style>
  <w:style w:type="paragraph" w:customStyle="1" w:styleId="Text2">
    <w:name w:val="Text 2"/>
    <w:basedOn w:val="Normal"/>
    <w:rsid w:val="00877878"/>
    <w:pPr>
      <w:ind w:left="1417"/>
    </w:pPr>
  </w:style>
  <w:style w:type="paragraph" w:customStyle="1" w:styleId="Text3">
    <w:name w:val="Text 3"/>
    <w:basedOn w:val="Normal"/>
    <w:rsid w:val="00877878"/>
    <w:pPr>
      <w:ind w:left="1984"/>
    </w:pPr>
  </w:style>
  <w:style w:type="paragraph" w:customStyle="1" w:styleId="Text4">
    <w:name w:val="Text 4"/>
    <w:basedOn w:val="Normal"/>
    <w:rsid w:val="00877878"/>
    <w:pPr>
      <w:ind w:left="2551"/>
    </w:pPr>
  </w:style>
  <w:style w:type="paragraph" w:customStyle="1" w:styleId="NormalCentered">
    <w:name w:val="Normal Centered"/>
    <w:basedOn w:val="Normal"/>
    <w:rsid w:val="00877878"/>
    <w:pPr>
      <w:jc w:val="center"/>
    </w:pPr>
  </w:style>
  <w:style w:type="paragraph" w:customStyle="1" w:styleId="NormalLeft">
    <w:name w:val="Normal Left"/>
    <w:basedOn w:val="Normal"/>
    <w:rsid w:val="00877878"/>
    <w:pPr>
      <w:jc w:val="left"/>
    </w:pPr>
  </w:style>
  <w:style w:type="paragraph" w:customStyle="1" w:styleId="NormalRight">
    <w:name w:val="Normal Right"/>
    <w:basedOn w:val="Normal"/>
    <w:rsid w:val="00877878"/>
    <w:pPr>
      <w:jc w:val="right"/>
    </w:pPr>
  </w:style>
  <w:style w:type="paragraph" w:customStyle="1" w:styleId="QuotedText">
    <w:name w:val="Quoted Text"/>
    <w:basedOn w:val="Normal"/>
    <w:rsid w:val="00877878"/>
    <w:pPr>
      <w:ind w:left="1417"/>
    </w:pPr>
  </w:style>
  <w:style w:type="paragraph" w:customStyle="1" w:styleId="Point0">
    <w:name w:val="Point 0"/>
    <w:basedOn w:val="Normal"/>
    <w:rsid w:val="00877878"/>
    <w:pPr>
      <w:ind w:left="850" w:hanging="850"/>
    </w:pPr>
  </w:style>
  <w:style w:type="paragraph" w:customStyle="1" w:styleId="Point1">
    <w:name w:val="Point 1"/>
    <w:basedOn w:val="Normal"/>
    <w:rsid w:val="00877878"/>
    <w:pPr>
      <w:ind w:left="1417" w:hanging="567"/>
    </w:pPr>
  </w:style>
  <w:style w:type="paragraph" w:customStyle="1" w:styleId="Point2">
    <w:name w:val="Point 2"/>
    <w:basedOn w:val="Normal"/>
    <w:rsid w:val="00877878"/>
    <w:pPr>
      <w:ind w:left="1984" w:hanging="567"/>
    </w:pPr>
  </w:style>
  <w:style w:type="paragraph" w:customStyle="1" w:styleId="Point3">
    <w:name w:val="Point 3"/>
    <w:basedOn w:val="Normal"/>
    <w:rsid w:val="00877878"/>
    <w:pPr>
      <w:ind w:left="2551" w:hanging="567"/>
    </w:pPr>
  </w:style>
  <w:style w:type="paragraph" w:customStyle="1" w:styleId="Point4">
    <w:name w:val="Point 4"/>
    <w:basedOn w:val="Normal"/>
    <w:rsid w:val="00877878"/>
    <w:pPr>
      <w:ind w:left="3118" w:hanging="567"/>
    </w:pPr>
  </w:style>
  <w:style w:type="paragraph" w:customStyle="1" w:styleId="Tiret0">
    <w:name w:val="Tiret 0"/>
    <w:basedOn w:val="Point0"/>
    <w:rsid w:val="00877878"/>
    <w:pPr>
      <w:numPr>
        <w:numId w:val="10"/>
      </w:numPr>
    </w:pPr>
  </w:style>
  <w:style w:type="paragraph" w:customStyle="1" w:styleId="Tiret1">
    <w:name w:val="Tiret 1"/>
    <w:basedOn w:val="Point1"/>
    <w:rsid w:val="00877878"/>
    <w:pPr>
      <w:numPr>
        <w:numId w:val="11"/>
      </w:numPr>
    </w:pPr>
  </w:style>
  <w:style w:type="paragraph" w:customStyle="1" w:styleId="Tiret2">
    <w:name w:val="Tiret 2"/>
    <w:basedOn w:val="Point2"/>
    <w:rsid w:val="00877878"/>
    <w:pPr>
      <w:numPr>
        <w:numId w:val="12"/>
      </w:numPr>
    </w:pPr>
  </w:style>
  <w:style w:type="paragraph" w:customStyle="1" w:styleId="Tiret3">
    <w:name w:val="Tiret 3"/>
    <w:basedOn w:val="Point3"/>
    <w:rsid w:val="00877878"/>
    <w:pPr>
      <w:numPr>
        <w:numId w:val="13"/>
      </w:numPr>
    </w:pPr>
  </w:style>
  <w:style w:type="paragraph" w:customStyle="1" w:styleId="Tiret4">
    <w:name w:val="Tiret 4"/>
    <w:basedOn w:val="Point4"/>
    <w:rsid w:val="00877878"/>
    <w:pPr>
      <w:numPr>
        <w:numId w:val="14"/>
      </w:numPr>
    </w:pPr>
  </w:style>
  <w:style w:type="paragraph" w:customStyle="1" w:styleId="PointDouble0">
    <w:name w:val="PointDouble 0"/>
    <w:basedOn w:val="Normal"/>
    <w:rsid w:val="00877878"/>
    <w:pPr>
      <w:tabs>
        <w:tab w:val="left" w:pos="850"/>
      </w:tabs>
      <w:ind w:left="1417" w:hanging="1417"/>
    </w:pPr>
  </w:style>
  <w:style w:type="paragraph" w:customStyle="1" w:styleId="PointDouble1">
    <w:name w:val="PointDouble 1"/>
    <w:basedOn w:val="Normal"/>
    <w:rsid w:val="00877878"/>
    <w:pPr>
      <w:tabs>
        <w:tab w:val="left" w:pos="1417"/>
      </w:tabs>
      <w:ind w:left="1984" w:hanging="1134"/>
    </w:pPr>
  </w:style>
  <w:style w:type="paragraph" w:customStyle="1" w:styleId="PointDouble2">
    <w:name w:val="PointDouble 2"/>
    <w:basedOn w:val="Normal"/>
    <w:rsid w:val="00877878"/>
    <w:pPr>
      <w:tabs>
        <w:tab w:val="left" w:pos="1984"/>
      </w:tabs>
      <w:ind w:left="2551" w:hanging="1134"/>
    </w:pPr>
  </w:style>
  <w:style w:type="paragraph" w:customStyle="1" w:styleId="PointDouble3">
    <w:name w:val="PointDouble 3"/>
    <w:basedOn w:val="Normal"/>
    <w:rsid w:val="00877878"/>
    <w:pPr>
      <w:tabs>
        <w:tab w:val="left" w:pos="2551"/>
      </w:tabs>
      <w:ind w:left="3118" w:hanging="1134"/>
    </w:pPr>
  </w:style>
  <w:style w:type="paragraph" w:customStyle="1" w:styleId="PointDouble4">
    <w:name w:val="PointDouble 4"/>
    <w:basedOn w:val="Normal"/>
    <w:rsid w:val="00877878"/>
    <w:pPr>
      <w:tabs>
        <w:tab w:val="left" w:pos="3118"/>
      </w:tabs>
      <w:ind w:left="3685" w:hanging="1134"/>
    </w:pPr>
  </w:style>
  <w:style w:type="paragraph" w:customStyle="1" w:styleId="PointTriple0">
    <w:name w:val="PointTriple 0"/>
    <w:basedOn w:val="Normal"/>
    <w:rsid w:val="00877878"/>
    <w:pPr>
      <w:tabs>
        <w:tab w:val="left" w:pos="850"/>
        <w:tab w:val="left" w:pos="1417"/>
      </w:tabs>
      <w:ind w:left="1984" w:hanging="1984"/>
    </w:pPr>
  </w:style>
  <w:style w:type="paragraph" w:customStyle="1" w:styleId="PointTriple1">
    <w:name w:val="PointTriple 1"/>
    <w:basedOn w:val="Normal"/>
    <w:rsid w:val="00877878"/>
    <w:pPr>
      <w:tabs>
        <w:tab w:val="left" w:pos="1417"/>
        <w:tab w:val="left" w:pos="1984"/>
      </w:tabs>
      <w:ind w:left="2551" w:hanging="1701"/>
    </w:pPr>
  </w:style>
  <w:style w:type="paragraph" w:customStyle="1" w:styleId="PointTriple2">
    <w:name w:val="PointTriple 2"/>
    <w:basedOn w:val="Normal"/>
    <w:rsid w:val="00877878"/>
    <w:pPr>
      <w:tabs>
        <w:tab w:val="left" w:pos="1984"/>
        <w:tab w:val="left" w:pos="2551"/>
      </w:tabs>
      <w:ind w:left="3118" w:hanging="1701"/>
    </w:pPr>
  </w:style>
  <w:style w:type="paragraph" w:customStyle="1" w:styleId="PointTriple3">
    <w:name w:val="PointTriple 3"/>
    <w:basedOn w:val="Normal"/>
    <w:rsid w:val="00877878"/>
    <w:pPr>
      <w:tabs>
        <w:tab w:val="left" w:pos="2551"/>
        <w:tab w:val="left" w:pos="3118"/>
      </w:tabs>
      <w:ind w:left="3685" w:hanging="1701"/>
    </w:pPr>
  </w:style>
  <w:style w:type="paragraph" w:customStyle="1" w:styleId="PointTriple4">
    <w:name w:val="PointTriple 4"/>
    <w:basedOn w:val="Normal"/>
    <w:rsid w:val="00877878"/>
    <w:pPr>
      <w:tabs>
        <w:tab w:val="left" w:pos="3118"/>
        <w:tab w:val="left" w:pos="3685"/>
      </w:tabs>
      <w:ind w:left="4252" w:hanging="1701"/>
    </w:pPr>
  </w:style>
  <w:style w:type="paragraph" w:customStyle="1" w:styleId="NumPar1">
    <w:name w:val="NumPar 1"/>
    <w:basedOn w:val="Normal"/>
    <w:next w:val="Text1"/>
    <w:rsid w:val="00877878"/>
    <w:pPr>
      <w:numPr>
        <w:numId w:val="15"/>
      </w:numPr>
    </w:pPr>
  </w:style>
  <w:style w:type="paragraph" w:customStyle="1" w:styleId="NumPar2">
    <w:name w:val="NumPar 2"/>
    <w:basedOn w:val="Normal"/>
    <w:next w:val="Text1"/>
    <w:rsid w:val="00877878"/>
    <w:pPr>
      <w:numPr>
        <w:ilvl w:val="1"/>
        <w:numId w:val="15"/>
      </w:numPr>
    </w:pPr>
  </w:style>
  <w:style w:type="paragraph" w:customStyle="1" w:styleId="NumPar3">
    <w:name w:val="NumPar 3"/>
    <w:basedOn w:val="Normal"/>
    <w:next w:val="Text1"/>
    <w:rsid w:val="00877878"/>
    <w:pPr>
      <w:numPr>
        <w:ilvl w:val="2"/>
        <w:numId w:val="15"/>
      </w:numPr>
    </w:pPr>
  </w:style>
  <w:style w:type="paragraph" w:customStyle="1" w:styleId="NumPar4">
    <w:name w:val="NumPar 4"/>
    <w:basedOn w:val="Normal"/>
    <w:next w:val="Text1"/>
    <w:rsid w:val="00877878"/>
    <w:pPr>
      <w:numPr>
        <w:ilvl w:val="3"/>
        <w:numId w:val="15"/>
      </w:numPr>
    </w:pPr>
  </w:style>
  <w:style w:type="paragraph" w:customStyle="1" w:styleId="ManualNumPar1">
    <w:name w:val="Manual NumPar 1"/>
    <w:basedOn w:val="Normal"/>
    <w:next w:val="Text1"/>
    <w:rsid w:val="00877878"/>
    <w:pPr>
      <w:ind w:left="850" w:hanging="850"/>
    </w:pPr>
  </w:style>
  <w:style w:type="paragraph" w:customStyle="1" w:styleId="ManualNumPar2">
    <w:name w:val="Manual NumPar 2"/>
    <w:basedOn w:val="Normal"/>
    <w:next w:val="Text1"/>
    <w:rsid w:val="00877878"/>
    <w:pPr>
      <w:ind w:left="850" w:hanging="850"/>
    </w:pPr>
  </w:style>
  <w:style w:type="paragraph" w:customStyle="1" w:styleId="ManualNumPar3">
    <w:name w:val="Manual NumPar 3"/>
    <w:basedOn w:val="Normal"/>
    <w:next w:val="Text1"/>
    <w:rsid w:val="00877878"/>
    <w:pPr>
      <w:ind w:left="850" w:hanging="850"/>
    </w:pPr>
  </w:style>
  <w:style w:type="paragraph" w:customStyle="1" w:styleId="ManualNumPar4">
    <w:name w:val="Manual NumPar 4"/>
    <w:basedOn w:val="Normal"/>
    <w:next w:val="Text1"/>
    <w:rsid w:val="00877878"/>
    <w:pPr>
      <w:ind w:left="850" w:hanging="850"/>
    </w:pPr>
  </w:style>
  <w:style w:type="paragraph" w:customStyle="1" w:styleId="QuotedNumPar">
    <w:name w:val="Quoted NumPar"/>
    <w:basedOn w:val="Normal"/>
    <w:rsid w:val="00877878"/>
    <w:pPr>
      <w:ind w:left="1417" w:hanging="567"/>
    </w:pPr>
  </w:style>
  <w:style w:type="paragraph" w:customStyle="1" w:styleId="ManualHeading1">
    <w:name w:val="Manual Heading 1"/>
    <w:basedOn w:val="Normal"/>
    <w:next w:val="Text1"/>
    <w:rsid w:val="0087787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877878"/>
    <w:pPr>
      <w:keepNext/>
      <w:tabs>
        <w:tab w:val="left" w:pos="850"/>
      </w:tabs>
      <w:ind w:left="850" w:hanging="850"/>
      <w:outlineLvl w:val="1"/>
    </w:pPr>
    <w:rPr>
      <w:b/>
    </w:rPr>
  </w:style>
  <w:style w:type="paragraph" w:customStyle="1" w:styleId="ManualHeading3">
    <w:name w:val="Manual Heading 3"/>
    <w:basedOn w:val="Normal"/>
    <w:next w:val="Text1"/>
    <w:rsid w:val="00877878"/>
    <w:pPr>
      <w:keepNext/>
      <w:tabs>
        <w:tab w:val="left" w:pos="850"/>
      </w:tabs>
      <w:ind w:left="850" w:hanging="850"/>
      <w:outlineLvl w:val="2"/>
    </w:pPr>
    <w:rPr>
      <w:i/>
    </w:rPr>
  </w:style>
  <w:style w:type="paragraph" w:customStyle="1" w:styleId="ManualHeading4">
    <w:name w:val="Manual Heading 4"/>
    <w:basedOn w:val="Normal"/>
    <w:next w:val="Text1"/>
    <w:rsid w:val="00877878"/>
    <w:pPr>
      <w:keepNext/>
      <w:tabs>
        <w:tab w:val="left" w:pos="850"/>
      </w:tabs>
      <w:ind w:left="850" w:hanging="850"/>
      <w:outlineLvl w:val="3"/>
    </w:pPr>
  </w:style>
  <w:style w:type="paragraph" w:customStyle="1" w:styleId="ChapterTitle">
    <w:name w:val="ChapterTitle"/>
    <w:basedOn w:val="Normal"/>
    <w:next w:val="Normal"/>
    <w:rsid w:val="00877878"/>
    <w:pPr>
      <w:keepNext/>
      <w:spacing w:after="360"/>
      <w:jc w:val="center"/>
    </w:pPr>
    <w:rPr>
      <w:b/>
      <w:sz w:val="32"/>
    </w:rPr>
  </w:style>
  <w:style w:type="paragraph" w:customStyle="1" w:styleId="PartTitle">
    <w:name w:val="PartTitle"/>
    <w:basedOn w:val="Normal"/>
    <w:next w:val="ChapterTitle"/>
    <w:rsid w:val="00877878"/>
    <w:pPr>
      <w:keepNext/>
      <w:pageBreakBefore/>
      <w:spacing w:after="360"/>
      <w:jc w:val="center"/>
    </w:pPr>
    <w:rPr>
      <w:b/>
      <w:sz w:val="36"/>
    </w:rPr>
  </w:style>
  <w:style w:type="paragraph" w:customStyle="1" w:styleId="SectionTitle">
    <w:name w:val="SectionTitle"/>
    <w:basedOn w:val="Normal"/>
    <w:next w:val="Heading1"/>
    <w:rsid w:val="00877878"/>
    <w:pPr>
      <w:keepNext/>
      <w:spacing w:after="360"/>
      <w:jc w:val="center"/>
    </w:pPr>
    <w:rPr>
      <w:b/>
      <w:smallCaps/>
      <w:sz w:val="28"/>
    </w:rPr>
  </w:style>
  <w:style w:type="paragraph" w:customStyle="1" w:styleId="TableTitle">
    <w:name w:val="Table Title"/>
    <w:basedOn w:val="Normal"/>
    <w:next w:val="Normal"/>
    <w:rsid w:val="00877878"/>
    <w:pPr>
      <w:jc w:val="center"/>
    </w:pPr>
    <w:rPr>
      <w:b/>
    </w:rPr>
  </w:style>
  <w:style w:type="character" w:customStyle="1" w:styleId="Marker">
    <w:name w:val="Marker"/>
    <w:basedOn w:val="DefaultParagraphFont"/>
    <w:rsid w:val="00877878"/>
    <w:rPr>
      <w:color w:val="0000FF"/>
      <w:shd w:val="clear" w:color="auto" w:fill="auto"/>
    </w:rPr>
  </w:style>
  <w:style w:type="character" w:customStyle="1" w:styleId="Marker1">
    <w:name w:val="Marker1"/>
    <w:basedOn w:val="DefaultParagraphFont"/>
    <w:rsid w:val="00877878"/>
    <w:rPr>
      <w:color w:val="008000"/>
      <w:shd w:val="clear" w:color="auto" w:fill="auto"/>
    </w:rPr>
  </w:style>
  <w:style w:type="character" w:customStyle="1" w:styleId="Marker2">
    <w:name w:val="Marker2"/>
    <w:basedOn w:val="DefaultParagraphFont"/>
    <w:rsid w:val="00877878"/>
    <w:rPr>
      <w:color w:val="FF0000"/>
      <w:shd w:val="clear" w:color="auto" w:fill="auto"/>
    </w:rPr>
  </w:style>
  <w:style w:type="paragraph" w:customStyle="1" w:styleId="Point0number">
    <w:name w:val="Point 0 (number)"/>
    <w:basedOn w:val="Normal"/>
    <w:rsid w:val="00877878"/>
    <w:pPr>
      <w:numPr>
        <w:numId w:val="17"/>
      </w:numPr>
    </w:pPr>
  </w:style>
  <w:style w:type="paragraph" w:customStyle="1" w:styleId="Point1number">
    <w:name w:val="Point 1 (number)"/>
    <w:basedOn w:val="Normal"/>
    <w:rsid w:val="00877878"/>
    <w:pPr>
      <w:numPr>
        <w:ilvl w:val="2"/>
        <w:numId w:val="17"/>
      </w:numPr>
    </w:pPr>
  </w:style>
  <w:style w:type="paragraph" w:customStyle="1" w:styleId="Point2number">
    <w:name w:val="Point 2 (number)"/>
    <w:basedOn w:val="Normal"/>
    <w:rsid w:val="00877878"/>
    <w:pPr>
      <w:numPr>
        <w:ilvl w:val="4"/>
        <w:numId w:val="17"/>
      </w:numPr>
    </w:pPr>
  </w:style>
  <w:style w:type="paragraph" w:customStyle="1" w:styleId="Point3number">
    <w:name w:val="Point 3 (number)"/>
    <w:basedOn w:val="Normal"/>
    <w:rsid w:val="00877878"/>
    <w:pPr>
      <w:numPr>
        <w:ilvl w:val="6"/>
        <w:numId w:val="17"/>
      </w:numPr>
    </w:pPr>
  </w:style>
  <w:style w:type="paragraph" w:customStyle="1" w:styleId="Point0letter">
    <w:name w:val="Point 0 (letter)"/>
    <w:basedOn w:val="Normal"/>
    <w:rsid w:val="00877878"/>
    <w:pPr>
      <w:numPr>
        <w:ilvl w:val="1"/>
        <w:numId w:val="17"/>
      </w:numPr>
    </w:pPr>
  </w:style>
  <w:style w:type="paragraph" w:customStyle="1" w:styleId="Point1letter">
    <w:name w:val="Point 1 (letter)"/>
    <w:basedOn w:val="Normal"/>
    <w:rsid w:val="00877878"/>
    <w:pPr>
      <w:numPr>
        <w:ilvl w:val="3"/>
        <w:numId w:val="17"/>
      </w:numPr>
    </w:pPr>
  </w:style>
  <w:style w:type="paragraph" w:customStyle="1" w:styleId="Point2letter">
    <w:name w:val="Point 2 (letter)"/>
    <w:basedOn w:val="Normal"/>
    <w:rsid w:val="00877878"/>
    <w:pPr>
      <w:numPr>
        <w:ilvl w:val="5"/>
        <w:numId w:val="17"/>
      </w:numPr>
    </w:pPr>
  </w:style>
  <w:style w:type="paragraph" w:customStyle="1" w:styleId="Point3letter">
    <w:name w:val="Point 3 (letter)"/>
    <w:basedOn w:val="Normal"/>
    <w:rsid w:val="00877878"/>
    <w:pPr>
      <w:numPr>
        <w:ilvl w:val="7"/>
        <w:numId w:val="17"/>
      </w:numPr>
    </w:pPr>
  </w:style>
  <w:style w:type="paragraph" w:customStyle="1" w:styleId="Point4letter">
    <w:name w:val="Point 4 (letter)"/>
    <w:basedOn w:val="Normal"/>
    <w:rsid w:val="00877878"/>
    <w:pPr>
      <w:numPr>
        <w:ilvl w:val="8"/>
        <w:numId w:val="17"/>
      </w:numPr>
    </w:pPr>
  </w:style>
  <w:style w:type="paragraph" w:customStyle="1" w:styleId="Bullet0">
    <w:name w:val="Bullet 0"/>
    <w:basedOn w:val="Normal"/>
    <w:rsid w:val="00877878"/>
    <w:pPr>
      <w:numPr>
        <w:numId w:val="18"/>
      </w:numPr>
    </w:pPr>
  </w:style>
  <w:style w:type="paragraph" w:customStyle="1" w:styleId="Bullet1">
    <w:name w:val="Bullet 1"/>
    <w:basedOn w:val="Normal"/>
    <w:rsid w:val="00877878"/>
    <w:pPr>
      <w:numPr>
        <w:numId w:val="19"/>
      </w:numPr>
    </w:pPr>
  </w:style>
  <w:style w:type="paragraph" w:customStyle="1" w:styleId="Bullet2">
    <w:name w:val="Bullet 2"/>
    <w:basedOn w:val="Normal"/>
    <w:rsid w:val="00877878"/>
    <w:pPr>
      <w:numPr>
        <w:numId w:val="20"/>
      </w:numPr>
    </w:pPr>
  </w:style>
  <w:style w:type="paragraph" w:customStyle="1" w:styleId="Bullet3">
    <w:name w:val="Bullet 3"/>
    <w:basedOn w:val="Normal"/>
    <w:rsid w:val="00877878"/>
    <w:pPr>
      <w:numPr>
        <w:numId w:val="21"/>
      </w:numPr>
    </w:pPr>
  </w:style>
  <w:style w:type="paragraph" w:customStyle="1" w:styleId="Bullet4">
    <w:name w:val="Bullet 4"/>
    <w:basedOn w:val="Normal"/>
    <w:rsid w:val="00877878"/>
    <w:pPr>
      <w:numPr>
        <w:numId w:val="22"/>
      </w:numPr>
    </w:pPr>
  </w:style>
  <w:style w:type="paragraph" w:customStyle="1" w:styleId="Langue">
    <w:name w:val="Langue"/>
    <w:basedOn w:val="Normal"/>
    <w:next w:val="Rfrenceinterne"/>
    <w:rsid w:val="0087787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877878"/>
    <w:pPr>
      <w:spacing w:before="0" w:after="0"/>
      <w:jc w:val="left"/>
    </w:pPr>
    <w:rPr>
      <w:rFonts w:ascii="Arial" w:hAnsi="Arial" w:cs="Arial"/>
    </w:rPr>
  </w:style>
  <w:style w:type="paragraph" w:customStyle="1" w:styleId="Emission">
    <w:name w:val="Emission"/>
    <w:basedOn w:val="Normal"/>
    <w:next w:val="Rfrenceinstitutionnelle"/>
    <w:rsid w:val="00877878"/>
    <w:pPr>
      <w:spacing w:before="0" w:after="0"/>
      <w:ind w:left="5103"/>
      <w:jc w:val="left"/>
    </w:pPr>
  </w:style>
  <w:style w:type="paragraph" w:customStyle="1" w:styleId="Rfrenceinstitutionnelle">
    <w:name w:val="Référence institutionnelle"/>
    <w:basedOn w:val="Normal"/>
    <w:next w:val="Confidentialit"/>
    <w:rsid w:val="00877878"/>
    <w:pPr>
      <w:spacing w:before="0" w:after="240"/>
      <w:ind w:left="5103"/>
      <w:jc w:val="left"/>
    </w:pPr>
  </w:style>
  <w:style w:type="paragraph" w:customStyle="1" w:styleId="Pagedecouverture">
    <w:name w:val="Page de couverture"/>
    <w:basedOn w:val="Normal"/>
    <w:next w:val="Normal"/>
    <w:rsid w:val="00877878"/>
    <w:pPr>
      <w:spacing w:before="0" w:after="0"/>
    </w:pPr>
  </w:style>
  <w:style w:type="paragraph" w:customStyle="1" w:styleId="Declassification">
    <w:name w:val="Declassification"/>
    <w:basedOn w:val="Normal"/>
    <w:next w:val="Normal"/>
    <w:rsid w:val="00877878"/>
    <w:pPr>
      <w:spacing w:before="0" w:after="0"/>
    </w:pPr>
  </w:style>
  <w:style w:type="paragraph" w:customStyle="1" w:styleId="Disclaimer">
    <w:name w:val="Disclaimer"/>
    <w:basedOn w:val="Normal"/>
    <w:rsid w:val="0087787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Annexetitreexpos">
    <w:name w:val="Annexe titre (exposé)"/>
    <w:basedOn w:val="Normal"/>
    <w:next w:val="Normal"/>
    <w:rsid w:val="00877878"/>
    <w:pPr>
      <w:jc w:val="center"/>
    </w:pPr>
    <w:rPr>
      <w:b/>
      <w:u w:val="single"/>
    </w:rPr>
  </w:style>
  <w:style w:type="paragraph" w:customStyle="1" w:styleId="Annexetitre">
    <w:name w:val="Annexe titre"/>
    <w:basedOn w:val="Normal"/>
    <w:next w:val="Normal"/>
    <w:rsid w:val="00877878"/>
    <w:pPr>
      <w:jc w:val="center"/>
    </w:pPr>
    <w:rPr>
      <w:b/>
      <w:u w:val="single"/>
    </w:rPr>
  </w:style>
  <w:style w:type="paragraph" w:customStyle="1" w:styleId="Annexetitrefichefinancire">
    <w:name w:val="Annexe titre (fiche financière)"/>
    <w:basedOn w:val="Normal"/>
    <w:next w:val="Normal"/>
    <w:rsid w:val="00877878"/>
    <w:pPr>
      <w:jc w:val="center"/>
    </w:pPr>
    <w:rPr>
      <w:b/>
      <w:u w:val="single"/>
    </w:rPr>
  </w:style>
  <w:style w:type="paragraph" w:customStyle="1" w:styleId="Applicationdirecte">
    <w:name w:val="Application directe"/>
    <w:basedOn w:val="Normal"/>
    <w:next w:val="Fait"/>
    <w:rsid w:val="00877878"/>
    <w:pPr>
      <w:spacing w:before="480"/>
    </w:pPr>
  </w:style>
  <w:style w:type="paragraph" w:customStyle="1" w:styleId="Avertissementtitre">
    <w:name w:val="Avertissement titre"/>
    <w:basedOn w:val="Normal"/>
    <w:next w:val="Normal"/>
    <w:rsid w:val="00877878"/>
    <w:pPr>
      <w:keepNext/>
      <w:spacing w:before="480"/>
    </w:pPr>
    <w:rPr>
      <w:u w:val="single"/>
    </w:rPr>
  </w:style>
  <w:style w:type="paragraph" w:customStyle="1" w:styleId="Confidence">
    <w:name w:val="Confidence"/>
    <w:basedOn w:val="Normal"/>
    <w:next w:val="Normal"/>
    <w:rsid w:val="00877878"/>
    <w:pPr>
      <w:spacing w:before="360"/>
      <w:jc w:val="center"/>
    </w:pPr>
  </w:style>
  <w:style w:type="paragraph" w:customStyle="1" w:styleId="Confidentialit">
    <w:name w:val="Confidentialité"/>
    <w:basedOn w:val="Normal"/>
    <w:next w:val="TypedudocumentPagedecouverture"/>
    <w:rsid w:val="00877878"/>
    <w:pPr>
      <w:spacing w:before="240" w:after="240"/>
      <w:ind w:left="5103"/>
      <w:jc w:val="left"/>
    </w:pPr>
    <w:rPr>
      <w:i/>
      <w:sz w:val="32"/>
    </w:rPr>
  </w:style>
  <w:style w:type="paragraph" w:customStyle="1" w:styleId="Considrant">
    <w:name w:val="Considérant"/>
    <w:basedOn w:val="Normal"/>
    <w:rsid w:val="00877878"/>
    <w:pPr>
      <w:numPr>
        <w:numId w:val="23"/>
      </w:numPr>
    </w:pPr>
  </w:style>
  <w:style w:type="paragraph" w:customStyle="1" w:styleId="Corrigendum">
    <w:name w:val="Corrigendum"/>
    <w:basedOn w:val="Normal"/>
    <w:next w:val="Normal"/>
    <w:rsid w:val="00877878"/>
    <w:pPr>
      <w:spacing w:before="0" w:after="240"/>
      <w:jc w:val="left"/>
    </w:pPr>
  </w:style>
  <w:style w:type="paragraph" w:customStyle="1" w:styleId="Datedadoption">
    <w:name w:val="Date d'adoption"/>
    <w:basedOn w:val="Normal"/>
    <w:next w:val="Titreobjet"/>
    <w:rsid w:val="00877878"/>
    <w:pPr>
      <w:spacing w:before="360" w:after="0"/>
      <w:jc w:val="center"/>
    </w:pPr>
    <w:rPr>
      <w:b/>
    </w:rPr>
  </w:style>
  <w:style w:type="paragraph" w:customStyle="1" w:styleId="Exposdesmotifstitre">
    <w:name w:val="Exposé des motifs titre"/>
    <w:basedOn w:val="Normal"/>
    <w:next w:val="Normal"/>
    <w:rsid w:val="00877878"/>
    <w:pPr>
      <w:jc w:val="center"/>
    </w:pPr>
    <w:rPr>
      <w:b/>
      <w:u w:val="single"/>
    </w:rPr>
  </w:style>
  <w:style w:type="paragraph" w:customStyle="1" w:styleId="Fait">
    <w:name w:val="Fait à"/>
    <w:basedOn w:val="Normal"/>
    <w:next w:val="Institutionquisigne"/>
    <w:rsid w:val="00877878"/>
    <w:pPr>
      <w:keepNext/>
      <w:spacing w:after="0"/>
    </w:pPr>
  </w:style>
  <w:style w:type="paragraph" w:customStyle="1" w:styleId="Formuledadoption">
    <w:name w:val="Formule d'adoption"/>
    <w:basedOn w:val="Normal"/>
    <w:next w:val="Titrearticle"/>
    <w:rsid w:val="00877878"/>
    <w:pPr>
      <w:keepNext/>
    </w:pPr>
  </w:style>
  <w:style w:type="paragraph" w:customStyle="1" w:styleId="Institutionquiagit">
    <w:name w:val="Institution qui agit"/>
    <w:basedOn w:val="Normal"/>
    <w:next w:val="Normal"/>
    <w:rsid w:val="00877878"/>
    <w:pPr>
      <w:keepNext/>
      <w:spacing w:before="600"/>
    </w:pPr>
  </w:style>
  <w:style w:type="paragraph" w:customStyle="1" w:styleId="Institutionquisigne">
    <w:name w:val="Institution qui signe"/>
    <w:basedOn w:val="Normal"/>
    <w:next w:val="Personnequisigne"/>
    <w:rsid w:val="00877878"/>
    <w:pPr>
      <w:keepNext/>
      <w:tabs>
        <w:tab w:val="left" w:pos="4252"/>
      </w:tabs>
      <w:spacing w:before="720" w:after="0"/>
    </w:pPr>
    <w:rPr>
      <w:i/>
    </w:rPr>
  </w:style>
  <w:style w:type="paragraph" w:customStyle="1" w:styleId="ManualConsidrant">
    <w:name w:val="Manual Considérant"/>
    <w:basedOn w:val="Normal"/>
    <w:rsid w:val="00877878"/>
    <w:pPr>
      <w:ind w:left="709" w:hanging="709"/>
    </w:pPr>
  </w:style>
  <w:style w:type="paragraph" w:customStyle="1" w:styleId="Personnequisigne">
    <w:name w:val="Personne qui signe"/>
    <w:basedOn w:val="Normal"/>
    <w:next w:val="Institutionquisigne"/>
    <w:rsid w:val="00877878"/>
    <w:pPr>
      <w:tabs>
        <w:tab w:val="left" w:pos="4252"/>
      </w:tabs>
      <w:spacing w:before="0" w:after="0"/>
      <w:jc w:val="left"/>
    </w:pPr>
    <w:rPr>
      <w:i/>
    </w:rPr>
  </w:style>
  <w:style w:type="paragraph" w:customStyle="1" w:styleId="Rfrenceinterinstitutionnelle">
    <w:name w:val="Référence interinstitutionnelle"/>
    <w:basedOn w:val="Normal"/>
    <w:next w:val="Statut"/>
    <w:rsid w:val="00877878"/>
    <w:pPr>
      <w:spacing w:before="0" w:after="0"/>
      <w:ind w:left="5103"/>
      <w:jc w:val="left"/>
    </w:pPr>
  </w:style>
  <w:style w:type="paragraph" w:customStyle="1" w:styleId="Rfrenceinterne">
    <w:name w:val="Référence interne"/>
    <w:basedOn w:val="Normal"/>
    <w:next w:val="Rfrenceinterinstitutionnelle"/>
    <w:rsid w:val="00877878"/>
    <w:pPr>
      <w:spacing w:before="0" w:after="0"/>
      <w:ind w:left="5103"/>
      <w:jc w:val="left"/>
    </w:pPr>
  </w:style>
  <w:style w:type="paragraph" w:customStyle="1" w:styleId="Statut">
    <w:name w:val="Statut"/>
    <w:basedOn w:val="Normal"/>
    <w:next w:val="Typedudocument"/>
    <w:rsid w:val="00877878"/>
    <w:pPr>
      <w:spacing w:before="360" w:after="0"/>
      <w:jc w:val="center"/>
    </w:pPr>
  </w:style>
  <w:style w:type="paragraph" w:customStyle="1" w:styleId="Titrearticle">
    <w:name w:val="Titre article"/>
    <w:basedOn w:val="Normal"/>
    <w:next w:val="Normal"/>
    <w:rsid w:val="00877878"/>
    <w:pPr>
      <w:keepNext/>
      <w:spacing w:before="360"/>
      <w:jc w:val="center"/>
    </w:pPr>
    <w:rPr>
      <w:i/>
    </w:rPr>
  </w:style>
  <w:style w:type="paragraph" w:customStyle="1" w:styleId="Titreobjet">
    <w:name w:val="Titre objet"/>
    <w:basedOn w:val="Normal"/>
    <w:next w:val="IntrtEEE"/>
    <w:rsid w:val="00877878"/>
    <w:pPr>
      <w:spacing w:before="360" w:after="360"/>
      <w:jc w:val="center"/>
    </w:pPr>
    <w:rPr>
      <w:b/>
    </w:rPr>
  </w:style>
  <w:style w:type="paragraph" w:customStyle="1" w:styleId="Typedudocument">
    <w:name w:val="Type du document"/>
    <w:basedOn w:val="Normal"/>
    <w:next w:val="Titreobjet"/>
    <w:rsid w:val="00877878"/>
    <w:pPr>
      <w:spacing w:before="360" w:after="0"/>
      <w:jc w:val="center"/>
    </w:pPr>
    <w:rPr>
      <w:b/>
    </w:rPr>
  </w:style>
  <w:style w:type="character" w:customStyle="1" w:styleId="Added">
    <w:name w:val="Added"/>
    <w:basedOn w:val="DefaultParagraphFont"/>
    <w:rsid w:val="00877878"/>
    <w:rPr>
      <w:b/>
      <w:u w:val="single"/>
      <w:shd w:val="clear" w:color="auto" w:fill="auto"/>
    </w:rPr>
  </w:style>
  <w:style w:type="character" w:customStyle="1" w:styleId="Deleted">
    <w:name w:val="Deleted"/>
    <w:basedOn w:val="DefaultParagraphFont"/>
    <w:rsid w:val="00877878"/>
    <w:rPr>
      <w:strike/>
      <w:dstrike w:val="0"/>
      <w:shd w:val="clear" w:color="auto" w:fill="auto"/>
    </w:rPr>
  </w:style>
  <w:style w:type="paragraph" w:customStyle="1" w:styleId="Address">
    <w:name w:val="Address"/>
    <w:basedOn w:val="Normal"/>
    <w:next w:val="Normal"/>
    <w:rsid w:val="00877878"/>
    <w:pPr>
      <w:keepLines/>
      <w:spacing w:line="360" w:lineRule="auto"/>
      <w:ind w:left="3402"/>
      <w:jc w:val="left"/>
    </w:pPr>
  </w:style>
  <w:style w:type="paragraph" w:customStyle="1" w:styleId="Objetexterne">
    <w:name w:val="Objet externe"/>
    <w:basedOn w:val="Normal"/>
    <w:next w:val="Normal"/>
    <w:rsid w:val="00877878"/>
    <w:rPr>
      <w:i/>
      <w:caps/>
    </w:rPr>
  </w:style>
  <w:style w:type="paragraph" w:customStyle="1" w:styleId="Supertitre">
    <w:name w:val="Supertitre"/>
    <w:basedOn w:val="Normal"/>
    <w:next w:val="Normal"/>
    <w:rsid w:val="00877878"/>
    <w:pPr>
      <w:spacing w:before="0" w:after="600"/>
      <w:jc w:val="center"/>
    </w:pPr>
    <w:rPr>
      <w:b/>
    </w:rPr>
  </w:style>
  <w:style w:type="paragraph" w:customStyle="1" w:styleId="Languesfaisantfoi">
    <w:name w:val="Langues faisant foi"/>
    <w:basedOn w:val="Normal"/>
    <w:next w:val="Normal"/>
    <w:rsid w:val="00877878"/>
    <w:pPr>
      <w:spacing w:before="360" w:after="0"/>
      <w:jc w:val="center"/>
    </w:pPr>
  </w:style>
  <w:style w:type="paragraph" w:customStyle="1" w:styleId="Rfrencecroise">
    <w:name w:val="Référence croisée"/>
    <w:basedOn w:val="Normal"/>
    <w:rsid w:val="00877878"/>
    <w:pPr>
      <w:spacing w:before="0" w:after="0"/>
      <w:jc w:val="center"/>
    </w:pPr>
  </w:style>
  <w:style w:type="paragraph" w:customStyle="1" w:styleId="Fichefinanciretitre">
    <w:name w:val="Fiche financière titre"/>
    <w:basedOn w:val="Normal"/>
    <w:next w:val="Normal"/>
    <w:rsid w:val="00877878"/>
    <w:pPr>
      <w:jc w:val="center"/>
    </w:pPr>
    <w:rPr>
      <w:b/>
      <w:u w:val="single"/>
    </w:rPr>
  </w:style>
  <w:style w:type="paragraph" w:customStyle="1" w:styleId="DatedadoptionPagedecouverture">
    <w:name w:val="Date d'adoption (Page de couverture)"/>
    <w:basedOn w:val="Datedadoption"/>
    <w:next w:val="TitreobjetPagedecouverture"/>
    <w:rsid w:val="00877878"/>
  </w:style>
  <w:style w:type="paragraph" w:customStyle="1" w:styleId="RfrenceinterinstitutionnellePagedecouverture">
    <w:name w:val="Référence interinstitutionnelle (Page de couverture)"/>
    <w:basedOn w:val="Rfrenceinterinstitutionnelle"/>
    <w:next w:val="Confidentialit"/>
    <w:rsid w:val="00877878"/>
  </w:style>
  <w:style w:type="paragraph" w:customStyle="1" w:styleId="StatutPagedecouverture">
    <w:name w:val="Statut (Page de couverture)"/>
    <w:basedOn w:val="Statut"/>
    <w:next w:val="TypedudocumentPagedecouverture"/>
    <w:rsid w:val="00877878"/>
  </w:style>
  <w:style w:type="paragraph" w:customStyle="1" w:styleId="TitreobjetPagedecouverture">
    <w:name w:val="Titre objet (Page de couverture)"/>
    <w:basedOn w:val="Titreobjet"/>
    <w:next w:val="IntrtEEEPagedecouverture"/>
    <w:rsid w:val="00877878"/>
  </w:style>
  <w:style w:type="paragraph" w:customStyle="1" w:styleId="TypedudocumentPagedecouverture">
    <w:name w:val="Type du document (Page de couverture)"/>
    <w:basedOn w:val="Typedudocument"/>
    <w:next w:val="TitreobjetPagedecouverture"/>
    <w:rsid w:val="00877878"/>
  </w:style>
  <w:style w:type="paragraph" w:customStyle="1" w:styleId="Volume">
    <w:name w:val="Volume"/>
    <w:basedOn w:val="Normal"/>
    <w:next w:val="Confidentialit"/>
    <w:rsid w:val="00877878"/>
    <w:pPr>
      <w:spacing w:before="0" w:after="240"/>
      <w:ind w:left="5103"/>
      <w:jc w:val="left"/>
    </w:pPr>
  </w:style>
  <w:style w:type="paragraph" w:customStyle="1" w:styleId="IntrtEEE">
    <w:name w:val="Intérêt EEE"/>
    <w:basedOn w:val="Languesfaisantfoi"/>
    <w:next w:val="Normal"/>
    <w:rsid w:val="00877878"/>
    <w:pPr>
      <w:spacing w:after="240"/>
    </w:pPr>
  </w:style>
  <w:style w:type="paragraph" w:customStyle="1" w:styleId="Accompagnant">
    <w:name w:val="Accompagnant"/>
    <w:basedOn w:val="Normal"/>
    <w:next w:val="Typeacteprincipal"/>
    <w:rsid w:val="00877878"/>
    <w:pPr>
      <w:spacing w:before="0" w:after="240"/>
      <w:jc w:val="center"/>
    </w:pPr>
    <w:rPr>
      <w:b/>
      <w:i/>
    </w:rPr>
  </w:style>
  <w:style w:type="paragraph" w:customStyle="1" w:styleId="Typeacteprincipal">
    <w:name w:val="Type acte principal"/>
    <w:basedOn w:val="Normal"/>
    <w:next w:val="Objetacteprincipal"/>
    <w:rsid w:val="00877878"/>
    <w:pPr>
      <w:spacing w:before="0" w:after="240"/>
      <w:jc w:val="center"/>
    </w:pPr>
    <w:rPr>
      <w:b/>
    </w:rPr>
  </w:style>
  <w:style w:type="paragraph" w:customStyle="1" w:styleId="Objetacteprincipal">
    <w:name w:val="Objet acte principal"/>
    <w:basedOn w:val="Normal"/>
    <w:next w:val="Titrearticle"/>
    <w:rsid w:val="00877878"/>
    <w:pPr>
      <w:spacing w:before="0" w:after="360"/>
      <w:jc w:val="center"/>
    </w:pPr>
    <w:rPr>
      <w:b/>
    </w:rPr>
  </w:style>
  <w:style w:type="paragraph" w:customStyle="1" w:styleId="IntrtEEEPagedecouverture">
    <w:name w:val="Intérêt EEE (Page de couverture)"/>
    <w:basedOn w:val="IntrtEEE"/>
    <w:next w:val="Rfrencecroise"/>
    <w:rsid w:val="00877878"/>
  </w:style>
  <w:style w:type="paragraph" w:customStyle="1" w:styleId="AccompagnantPagedecouverture">
    <w:name w:val="Accompagnant (Page de couverture)"/>
    <w:basedOn w:val="Accompagnant"/>
    <w:next w:val="TypeacteprincipalPagedecouverture"/>
    <w:rsid w:val="00877878"/>
  </w:style>
  <w:style w:type="paragraph" w:customStyle="1" w:styleId="TypeacteprincipalPagedecouverture">
    <w:name w:val="Type acte principal (Page de couverture)"/>
    <w:basedOn w:val="Typeacteprincipal"/>
    <w:next w:val="ObjetacteprincipalPagedecouverture"/>
    <w:rsid w:val="00877878"/>
  </w:style>
  <w:style w:type="paragraph" w:customStyle="1" w:styleId="ObjetacteprincipalPagedecouverture">
    <w:name w:val="Objet acte principal (Page de couverture)"/>
    <w:basedOn w:val="Objetacteprincipal"/>
    <w:next w:val="Rfrencecroise"/>
    <w:rsid w:val="00877878"/>
  </w:style>
  <w:style w:type="paragraph" w:customStyle="1" w:styleId="LanguesfaisantfoiPagedecouverture">
    <w:name w:val="Langues faisant foi (Page de couverture)"/>
    <w:basedOn w:val="Normal"/>
    <w:next w:val="Normal"/>
    <w:rsid w:val="00877878"/>
    <w:pPr>
      <w:spacing w:before="360" w:after="0"/>
      <w:jc w:val="center"/>
    </w:pPr>
  </w:style>
  <w:style w:type="character" w:styleId="PlaceholderText">
    <w:name w:val="Placeholder Text"/>
    <w:basedOn w:val="DefaultParagraphFont"/>
    <w:uiPriority w:val="99"/>
    <w:semiHidden/>
    <w:rsid w:val="000F374C"/>
    <w:rPr>
      <w:color w:val="808080"/>
    </w:rPr>
  </w:style>
  <w:style w:type="character" w:customStyle="1" w:styleId="ListParagraphChar">
    <w:name w:val="List Paragraph Char"/>
    <w:aliases w:val="List Passage Char,Paragraph Char,Paragraphe de liste PBLH Char,Normal bullet 2 Char,Bullet list Char,Figure_name Char,Equipment Char,Numbered Indented Text Char,List Paragraph1 Char,lp1 Char,List Paragraph11 Char,Citation List Char"/>
    <w:link w:val="ListParagraph"/>
    <w:uiPriority w:val="34"/>
    <w:locked/>
    <w:rsid w:val="007E0E6D"/>
    <w:rPr>
      <w:rFonts w:ascii="Times New Roman" w:eastAsia="Calibri" w:hAnsi="Times New Roman" w:cs="Times New Roman"/>
      <w:lang w:val="en-GB"/>
    </w:rPr>
  </w:style>
  <w:style w:type="paragraph" w:customStyle="1" w:styleId="CM1">
    <w:name w:val="CM1"/>
    <w:basedOn w:val="Default"/>
    <w:next w:val="Default"/>
    <w:uiPriority w:val="99"/>
    <w:rsid w:val="00F54294"/>
    <w:rPr>
      <w:rFonts w:cstheme="minorBidi"/>
      <w:color w:val="auto"/>
    </w:rPr>
  </w:style>
  <w:style w:type="paragraph" w:customStyle="1" w:styleId="CM3">
    <w:name w:val="CM3"/>
    <w:basedOn w:val="Default"/>
    <w:next w:val="Default"/>
    <w:uiPriority w:val="99"/>
    <w:rsid w:val="00F54294"/>
    <w:rPr>
      <w:rFonts w:cstheme="minorBidi"/>
      <w:color w:val="auto"/>
    </w:rPr>
  </w:style>
  <w:style w:type="paragraph" w:styleId="NormalWeb">
    <w:name w:val="Normal (Web)"/>
    <w:basedOn w:val="Normal"/>
    <w:uiPriority w:val="99"/>
    <w:semiHidden/>
    <w:unhideWhenUsed/>
    <w:rsid w:val="00813F69"/>
    <w:pPr>
      <w:spacing w:before="100" w:beforeAutospacing="1" w:after="100" w:afterAutospacing="1"/>
      <w:jc w:val="left"/>
    </w:pPr>
    <w:rPr>
      <w:rFonts w:eastAsia="Times New Roman"/>
      <w:szCs w:val="24"/>
      <w:lang w:eastAsia="en-GB"/>
    </w:rPr>
  </w:style>
  <w:style w:type="character" w:styleId="Emphasis">
    <w:name w:val="Emphasis"/>
    <w:basedOn w:val="DefaultParagraphFont"/>
    <w:uiPriority w:val="20"/>
    <w:qFormat/>
    <w:rsid w:val="00813F69"/>
    <w:rPr>
      <w:i/>
      <w:iCs/>
    </w:rPr>
  </w:style>
  <w:style w:type="table" w:customStyle="1" w:styleId="Style1">
    <w:name w:val="Style1"/>
    <w:basedOn w:val="TableNormal"/>
    <w:uiPriority w:val="99"/>
    <w:rsid w:val="00D25F6B"/>
    <w:pPr>
      <w:spacing w:after="0" w:line="240" w:lineRule="auto"/>
    </w:pPr>
    <w:rPr>
      <w:rFonts w:eastAsiaTheme="minorEastAsia"/>
      <w:lang w:val="nl-N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cPr>
      <w:shd w:val="clear" w:color="auto" w:fill="FFFFFF" w:themeFill="background1"/>
    </w:tcPr>
    <w:tblStylePr w:type="firstRow">
      <w:rPr>
        <w:rFonts w:ascii="Corbel" w:hAnsi="Corbel"/>
        <w:b/>
        <w:color w:val="FFFFFF"/>
        <w:sz w:val="20"/>
      </w:rPr>
      <w:tblPr/>
      <w:tcPr>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cBorders>
        <w:shd w:val="clear" w:color="auto" w:fill="244061" w:themeFill="accent1" w:themeFillShade="80"/>
      </w:tcPr>
    </w:tblStylePr>
  </w:style>
  <w:style w:type="paragraph" w:customStyle="1" w:styleId="Tablestyle">
    <w:name w:val="Table style"/>
    <w:basedOn w:val="Normal"/>
    <w:link w:val="TablestyleChar"/>
    <w:qFormat/>
    <w:rsid w:val="00D25F6B"/>
    <w:pPr>
      <w:spacing w:before="0" w:after="0" w:line="276" w:lineRule="auto"/>
      <w:jc w:val="left"/>
    </w:pPr>
    <w:rPr>
      <w:rFonts w:asciiTheme="minorHAnsi" w:eastAsia="Times New Roman" w:hAnsiTheme="minorHAnsi" w:cstheme="minorHAnsi"/>
      <w:sz w:val="22"/>
    </w:rPr>
  </w:style>
  <w:style w:type="character" w:customStyle="1" w:styleId="TablestyleChar">
    <w:name w:val="Table style Char"/>
    <w:basedOn w:val="DefaultParagraphFont"/>
    <w:link w:val="Tablestyle"/>
    <w:rsid w:val="00D25F6B"/>
    <w:rPr>
      <w:rFonts w:eastAsia="Times New Roman" w:cstheme="minorHAnsi"/>
      <w:lang w:val="en-GB"/>
    </w:rPr>
  </w:style>
  <w:style w:type="paragraph" w:customStyle="1" w:styleId="Text5">
    <w:name w:val="Text 5"/>
    <w:basedOn w:val="Tiret4"/>
    <w:rsid w:val="0098398E"/>
    <w:pPr>
      <w:numPr>
        <w:numId w:val="0"/>
      </w:numPr>
      <w:ind w:left="3118"/>
    </w:pPr>
  </w:style>
  <w:style w:type="table" w:styleId="TableGrid">
    <w:name w:val="Table Grid"/>
    <w:basedOn w:val="TableNormal"/>
    <w:uiPriority w:val="39"/>
    <w:rsid w:val="004C1309"/>
    <w:pPr>
      <w:spacing w:after="0" w:line="240" w:lineRule="auto"/>
    </w:pPr>
    <w:rPr>
      <w:rFonts w:eastAsiaTheme="minorEastAsia"/>
      <w:lang w:val="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Light">
    <w:name w:val="Grid Table Light"/>
    <w:basedOn w:val="TableNormal"/>
    <w:uiPriority w:val="40"/>
    <w:rsid w:val="00625B2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2">
    <w:name w:val="Plain Table 2"/>
    <w:basedOn w:val="TableNormal"/>
    <w:uiPriority w:val="42"/>
    <w:rsid w:val="000147DF"/>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lang w:val="en-GB"/>
    </w:rPr>
  </w:style>
  <w:style w:type="paragraph" w:styleId="Heading1">
    <w:name w:val="heading 1"/>
    <w:basedOn w:val="Normal"/>
    <w:next w:val="Text1"/>
    <w:link w:val="Heading1Char"/>
    <w:uiPriority w:val="9"/>
    <w:qFormat/>
    <w:rsid w:val="00877878"/>
    <w:pPr>
      <w:keepNext/>
      <w:numPr>
        <w:numId w:val="16"/>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877878"/>
    <w:pPr>
      <w:keepNext/>
      <w:numPr>
        <w:ilvl w:val="1"/>
        <w:numId w:val="16"/>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877878"/>
    <w:pPr>
      <w:keepNext/>
      <w:numPr>
        <w:ilvl w:val="2"/>
        <w:numId w:val="16"/>
      </w:numPr>
      <w:outlineLvl w:val="2"/>
    </w:pPr>
    <w:rPr>
      <w:rFonts w:eastAsiaTheme="majorEastAsia"/>
      <w:bCs/>
      <w:i/>
    </w:rPr>
  </w:style>
  <w:style w:type="paragraph" w:styleId="Heading4">
    <w:name w:val="heading 4"/>
    <w:basedOn w:val="Normal"/>
    <w:next w:val="Text1"/>
    <w:link w:val="Heading4Char"/>
    <w:uiPriority w:val="9"/>
    <w:semiHidden/>
    <w:unhideWhenUsed/>
    <w:qFormat/>
    <w:rsid w:val="00877878"/>
    <w:pPr>
      <w:keepNext/>
      <w:numPr>
        <w:ilvl w:val="3"/>
        <w:numId w:val="16"/>
      </w:numPr>
      <w:outlineLvl w:val="3"/>
    </w:pPr>
    <w:rPr>
      <w:rFonts w:eastAsiaTheme="majorEastAsia"/>
      <w:bCs/>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ous-titreobjet">
    <w:name w:val="Sous-titre objet"/>
    <w:basedOn w:val="Normal"/>
    <w:rsid w:val="007D53B6"/>
    <w:pPr>
      <w:spacing w:before="0" w:after="0"/>
      <w:jc w:val="center"/>
    </w:pPr>
    <w:rPr>
      <w:b/>
    </w:rPr>
  </w:style>
  <w:style w:type="paragraph" w:customStyle="1" w:styleId="Sous-titreobjetPagedecouverture">
    <w:name w:val="Sous-titre objet (Page de couverture)"/>
    <w:basedOn w:val="Sous-titreobjet"/>
    <w:rsid w:val="007D53B6"/>
  </w:style>
  <w:style w:type="paragraph" w:styleId="ListBullet">
    <w:name w:val="List Bullet"/>
    <w:basedOn w:val="Normal"/>
    <w:uiPriority w:val="99"/>
    <w:semiHidden/>
    <w:unhideWhenUsed/>
    <w:rsid w:val="004911AB"/>
    <w:pPr>
      <w:numPr>
        <w:numId w:val="1"/>
      </w:numPr>
      <w:contextualSpacing/>
    </w:pPr>
  </w:style>
  <w:style w:type="paragraph" w:styleId="ListBullet2">
    <w:name w:val="List Bullet 2"/>
    <w:basedOn w:val="Normal"/>
    <w:uiPriority w:val="99"/>
    <w:semiHidden/>
    <w:unhideWhenUsed/>
    <w:rsid w:val="004911AB"/>
    <w:pPr>
      <w:numPr>
        <w:numId w:val="2"/>
      </w:numPr>
      <w:contextualSpacing/>
    </w:pPr>
  </w:style>
  <w:style w:type="paragraph" w:styleId="ListBullet3">
    <w:name w:val="List Bullet 3"/>
    <w:basedOn w:val="Normal"/>
    <w:uiPriority w:val="99"/>
    <w:semiHidden/>
    <w:unhideWhenUsed/>
    <w:rsid w:val="004911AB"/>
    <w:pPr>
      <w:numPr>
        <w:numId w:val="3"/>
      </w:numPr>
      <w:contextualSpacing/>
    </w:pPr>
  </w:style>
  <w:style w:type="paragraph" w:styleId="ListBullet4">
    <w:name w:val="List Bullet 4"/>
    <w:basedOn w:val="Normal"/>
    <w:uiPriority w:val="99"/>
    <w:semiHidden/>
    <w:unhideWhenUsed/>
    <w:rsid w:val="004911AB"/>
    <w:pPr>
      <w:numPr>
        <w:numId w:val="4"/>
      </w:numPr>
      <w:contextualSpacing/>
    </w:pPr>
  </w:style>
  <w:style w:type="paragraph" w:styleId="ListParagraph">
    <w:name w:val="List Paragraph"/>
    <w:aliases w:val="List Passage,Paragraph,Paragraphe de liste PBLH,Normal bullet 2,Bullet list,Figure_name,Equipment,Numbered Indented Text,List Paragraph1,lp1,List Paragraph11,List Paragraph Char Char Char,List Paragraph Char Char,Citation List"/>
    <w:basedOn w:val="Normal"/>
    <w:link w:val="ListParagraphChar"/>
    <w:uiPriority w:val="34"/>
    <w:qFormat/>
    <w:rsid w:val="006637BA"/>
    <w:pPr>
      <w:spacing w:before="0" w:after="200" w:line="276" w:lineRule="auto"/>
      <w:ind w:left="720"/>
      <w:contextualSpacing/>
      <w:jc w:val="left"/>
    </w:pPr>
    <w:rPr>
      <w:rFonts w:eastAsia="Calibri"/>
      <w:sz w:val="22"/>
    </w:rPr>
  </w:style>
  <w:style w:type="character" w:styleId="CommentReference">
    <w:name w:val="annotation reference"/>
    <w:basedOn w:val="DefaultParagraphFont"/>
    <w:uiPriority w:val="99"/>
    <w:semiHidden/>
    <w:unhideWhenUsed/>
    <w:rsid w:val="00F533D7"/>
    <w:rPr>
      <w:sz w:val="16"/>
      <w:szCs w:val="16"/>
    </w:rPr>
  </w:style>
  <w:style w:type="paragraph" w:styleId="CommentText">
    <w:name w:val="annotation text"/>
    <w:basedOn w:val="Normal"/>
    <w:link w:val="CommentTextChar"/>
    <w:uiPriority w:val="99"/>
    <w:unhideWhenUsed/>
    <w:rsid w:val="00F533D7"/>
    <w:rPr>
      <w:sz w:val="20"/>
      <w:szCs w:val="20"/>
    </w:rPr>
  </w:style>
  <w:style w:type="character" w:customStyle="1" w:styleId="CommentTextChar">
    <w:name w:val="Comment Text Char"/>
    <w:basedOn w:val="DefaultParagraphFont"/>
    <w:link w:val="CommentText"/>
    <w:uiPriority w:val="99"/>
    <w:rsid w:val="00F533D7"/>
    <w:rPr>
      <w:rFonts w:ascii="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F533D7"/>
    <w:rPr>
      <w:b/>
      <w:bCs/>
    </w:rPr>
  </w:style>
  <w:style w:type="character" w:customStyle="1" w:styleId="CommentSubjectChar">
    <w:name w:val="Comment Subject Char"/>
    <w:basedOn w:val="CommentTextChar"/>
    <w:link w:val="CommentSubject"/>
    <w:uiPriority w:val="99"/>
    <w:semiHidden/>
    <w:rsid w:val="00F533D7"/>
    <w:rPr>
      <w:rFonts w:ascii="Times New Roman" w:hAnsi="Times New Roman" w:cs="Times New Roman"/>
      <w:b/>
      <w:bCs/>
      <w:sz w:val="20"/>
      <w:szCs w:val="20"/>
      <w:lang w:val="en-GB"/>
    </w:rPr>
  </w:style>
  <w:style w:type="paragraph" w:styleId="BalloonText">
    <w:name w:val="Balloon Text"/>
    <w:basedOn w:val="Normal"/>
    <w:link w:val="BalloonTextChar"/>
    <w:uiPriority w:val="99"/>
    <w:semiHidden/>
    <w:unhideWhenUsed/>
    <w:rsid w:val="00F533D7"/>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33D7"/>
    <w:rPr>
      <w:rFonts w:ascii="Tahoma" w:hAnsi="Tahoma" w:cs="Tahoma"/>
      <w:sz w:val="16"/>
      <w:szCs w:val="16"/>
      <w:lang w:val="en-GB"/>
    </w:rPr>
  </w:style>
  <w:style w:type="paragraph" w:styleId="Revision">
    <w:name w:val="Revision"/>
    <w:hidden/>
    <w:uiPriority w:val="99"/>
    <w:semiHidden/>
    <w:rsid w:val="00F533D7"/>
    <w:pPr>
      <w:spacing w:after="0" w:line="240" w:lineRule="auto"/>
    </w:pPr>
    <w:rPr>
      <w:rFonts w:ascii="Times New Roman" w:hAnsi="Times New Roman" w:cs="Times New Roman"/>
      <w:sz w:val="24"/>
      <w:lang w:val="en-GB"/>
    </w:rPr>
  </w:style>
  <w:style w:type="character" w:styleId="Strong">
    <w:name w:val="Strong"/>
    <w:basedOn w:val="DefaultParagraphFont"/>
    <w:uiPriority w:val="22"/>
    <w:qFormat/>
    <w:rsid w:val="005C3CFF"/>
    <w:rPr>
      <w:b/>
      <w:bCs/>
    </w:rPr>
  </w:style>
  <w:style w:type="paragraph" w:customStyle="1" w:styleId="Default">
    <w:name w:val="Default"/>
    <w:rsid w:val="001E67AD"/>
    <w:pPr>
      <w:autoSpaceDE w:val="0"/>
      <w:autoSpaceDN w:val="0"/>
      <w:adjustRightInd w:val="0"/>
      <w:spacing w:after="0" w:line="240" w:lineRule="auto"/>
    </w:pPr>
    <w:rPr>
      <w:rFonts w:ascii="EUAlbertina" w:hAnsi="EUAlbertina" w:cs="EUAlbertina"/>
      <w:color w:val="000000"/>
      <w:sz w:val="24"/>
      <w:szCs w:val="24"/>
      <w:lang w:val="en-GB"/>
    </w:rPr>
  </w:style>
  <w:style w:type="paragraph" w:styleId="Caption">
    <w:name w:val="caption"/>
    <w:basedOn w:val="Normal"/>
    <w:next w:val="Normal"/>
    <w:uiPriority w:val="35"/>
    <w:semiHidden/>
    <w:unhideWhenUsed/>
    <w:qFormat/>
    <w:rsid w:val="00291C2F"/>
    <w:pPr>
      <w:spacing w:before="0" w:after="200"/>
    </w:pPr>
    <w:rPr>
      <w:b/>
      <w:bCs/>
      <w:color w:val="4F81BD" w:themeColor="accent1"/>
      <w:sz w:val="18"/>
      <w:szCs w:val="18"/>
    </w:rPr>
  </w:style>
  <w:style w:type="paragraph" w:styleId="TableofFigures">
    <w:name w:val="table of figures"/>
    <w:basedOn w:val="Normal"/>
    <w:next w:val="Normal"/>
    <w:uiPriority w:val="99"/>
    <w:semiHidden/>
    <w:unhideWhenUsed/>
    <w:rsid w:val="00291C2F"/>
    <w:pPr>
      <w:spacing w:after="0"/>
    </w:pPr>
  </w:style>
  <w:style w:type="paragraph" w:styleId="ListNumber">
    <w:name w:val="List Number"/>
    <w:basedOn w:val="Normal"/>
    <w:uiPriority w:val="99"/>
    <w:semiHidden/>
    <w:unhideWhenUsed/>
    <w:rsid w:val="00291C2F"/>
    <w:pPr>
      <w:numPr>
        <w:numId w:val="6"/>
      </w:numPr>
      <w:contextualSpacing/>
    </w:pPr>
  </w:style>
  <w:style w:type="paragraph" w:styleId="ListNumber2">
    <w:name w:val="List Number 2"/>
    <w:basedOn w:val="Normal"/>
    <w:uiPriority w:val="99"/>
    <w:semiHidden/>
    <w:unhideWhenUsed/>
    <w:rsid w:val="00291C2F"/>
    <w:pPr>
      <w:numPr>
        <w:numId w:val="7"/>
      </w:numPr>
      <w:contextualSpacing/>
    </w:pPr>
  </w:style>
  <w:style w:type="paragraph" w:styleId="ListNumber3">
    <w:name w:val="List Number 3"/>
    <w:basedOn w:val="Normal"/>
    <w:uiPriority w:val="99"/>
    <w:semiHidden/>
    <w:unhideWhenUsed/>
    <w:rsid w:val="00291C2F"/>
    <w:pPr>
      <w:numPr>
        <w:numId w:val="8"/>
      </w:numPr>
      <w:contextualSpacing/>
    </w:pPr>
  </w:style>
  <w:style w:type="paragraph" w:styleId="ListNumber4">
    <w:name w:val="List Number 4"/>
    <w:basedOn w:val="Normal"/>
    <w:uiPriority w:val="99"/>
    <w:semiHidden/>
    <w:unhideWhenUsed/>
    <w:rsid w:val="00291C2F"/>
    <w:pPr>
      <w:numPr>
        <w:numId w:val="9"/>
      </w:numPr>
      <w:contextualSpacing/>
    </w:pPr>
  </w:style>
  <w:style w:type="character" w:styleId="Hyperlink">
    <w:name w:val="Hyperlink"/>
    <w:basedOn w:val="DefaultParagraphFont"/>
    <w:uiPriority w:val="99"/>
    <w:unhideWhenUsed/>
    <w:rsid w:val="00EF602C"/>
    <w:rPr>
      <w:color w:val="0000FF" w:themeColor="hyperlink"/>
      <w:u w:val="single"/>
    </w:rPr>
  </w:style>
  <w:style w:type="paragraph" w:styleId="Header">
    <w:name w:val="header"/>
    <w:basedOn w:val="Normal"/>
    <w:link w:val="HeaderChar"/>
    <w:uiPriority w:val="99"/>
    <w:unhideWhenUsed/>
    <w:rsid w:val="00036C46"/>
    <w:pPr>
      <w:tabs>
        <w:tab w:val="center" w:pos="4535"/>
        <w:tab w:val="right" w:pos="9071"/>
      </w:tabs>
      <w:spacing w:before="0"/>
    </w:pPr>
  </w:style>
  <w:style w:type="character" w:customStyle="1" w:styleId="HeaderChar">
    <w:name w:val="Header Char"/>
    <w:basedOn w:val="DefaultParagraphFont"/>
    <w:link w:val="Header"/>
    <w:uiPriority w:val="99"/>
    <w:rsid w:val="00036C46"/>
    <w:rPr>
      <w:rFonts w:ascii="Times New Roman" w:hAnsi="Times New Roman" w:cs="Times New Roman"/>
      <w:sz w:val="24"/>
      <w:lang w:val="en-GB"/>
    </w:rPr>
  </w:style>
  <w:style w:type="paragraph" w:styleId="Footer">
    <w:name w:val="footer"/>
    <w:basedOn w:val="Normal"/>
    <w:link w:val="FooterChar"/>
    <w:uiPriority w:val="99"/>
    <w:unhideWhenUsed/>
    <w:rsid w:val="00036C46"/>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036C46"/>
    <w:rPr>
      <w:rFonts w:ascii="Times New Roman" w:hAnsi="Times New Roman" w:cs="Times New Roman"/>
      <w:sz w:val="24"/>
      <w:lang w:val="en-GB"/>
    </w:rPr>
  </w:style>
  <w:style w:type="paragraph" w:styleId="FootnoteText">
    <w:name w:val="footnote text"/>
    <w:basedOn w:val="Normal"/>
    <w:link w:val="FootnoteTextChar"/>
    <w:uiPriority w:val="99"/>
    <w:semiHidden/>
    <w:unhideWhenUsed/>
    <w:rsid w:val="0087787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87787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87787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87787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87787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87787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877878"/>
    <w:pPr>
      <w:spacing w:after="240"/>
      <w:jc w:val="center"/>
    </w:pPr>
    <w:rPr>
      <w:b/>
      <w:sz w:val="28"/>
    </w:rPr>
  </w:style>
  <w:style w:type="paragraph" w:styleId="TOC1">
    <w:name w:val="toc 1"/>
    <w:basedOn w:val="Normal"/>
    <w:next w:val="Normal"/>
    <w:uiPriority w:val="39"/>
    <w:semiHidden/>
    <w:unhideWhenUsed/>
    <w:rsid w:val="00877878"/>
    <w:pPr>
      <w:tabs>
        <w:tab w:val="right" w:leader="dot" w:pos="9071"/>
      </w:tabs>
      <w:spacing w:before="60"/>
      <w:ind w:left="850" w:hanging="850"/>
      <w:jc w:val="left"/>
    </w:pPr>
  </w:style>
  <w:style w:type="paragraph" w:styleId="TOC2">
    <w:name w:val="toc 2"/>
    <w:basedOn w:val="Normal"/>
    <w:next w:val="Normal"/>
    <w:uiPriority w:val="39"/>
    <w:semiHidden/>
    <w:unhideWhenUsed/>
    <w:rsid w:val="00877878"/>
    <w:pPr>
      <w:tabs>
        <w:tab w:val="right" w:leader="dot" w:pos="9071"/>
      </w:tabs>
      <w:spacing w:before="60"/>
      <w:ind w:left="850" w:hanging="850"/>
      <w:jc w:val="left"/>
    </w:pPr>
  </w:style>
  <w:style w:type="paragraph" w:styleId="TOC3">
    <w:name w:val="toc 3"/>
    <w:basedOn w:val="Normal"/>
    <w:next w:val="Normal"/>
    <w:uiPriority w:val="39"/>
    <w:semiHidden/>
    <w:unhideWhenUsed/>
    <w:rsid w:val="00877878"/>
    <w:pPr>
      <w:tabs>
        <w:tab w:val="right" w:leader="dot" w:pos="9071"/>
      </w:tabs>
      <w:spacing w:before="60"/>
      <w:ind w:left="850" w:hanging="850"/>
      <w:jc w:val="left"/>
    </w:pPr>
  </w:style>
  <w:style w:type="paragraph" w:styleId="TOC4">
    <w:name w:val="toc 4"/>
    <w:basedOn w:val="Normal"/>
    <w:next w:val="Normal"/>
    <w:uiPriority w:val="39"/>
    <w:semiHidden/>
    <w:unhideWhenUsed/>
    <w:rsid w:val="00877878"/>
    <w:pPr>
      <w:tabs>
        <w:tab w:val="right" w:leader="dot" w:pos="9071"/>
      </w:tabs>
      <w:spacing w:before="60"/>
      <w:ind w:left="850" w:hanging="850"/>
      <w:jc w:val="left"/>
    </w:pPr>
  </w:style>
  <w:style w:type="paragraph" w:styleId="TOC5">
    <w:name w:val="toc 5"/>
    <w:basedOn w:val="Normal"/>
    <w:next w:val="Normal"/>
    <w:uiPriority w:val="39"/>
    <w:semiHidden/>
    <w:unhideWhenUsed/>
    <w:rsid w:val="00877878"/>
    <w:pPr>
      <w:tabs>
        <w:tab w:val="right" w:leader="dot" w:pos="9071"/>
      </w:tabs>
      <w:spacing w:before="300"/>
      <w:jc w:val="left"/>
    </w:pPr>
  </w:style>
  <w:style w:type="paragraph" w:styleId="TOC6">
    <w:name w:val="toc 6"/>
    <w:basedOn w:val="Normal"/>
    <w:next w:val="Normal"/>
    <w:uiPriority w:val="39"/>
    <w:semiHidden/>
    <w:unhideWhenUsed/>
    <w:rsid w:val="00877878"/>
    <w:pPr>
      <w:tabs>
        <w:tab w:val="right" w:leader="dot" w:pos="9071"/>
      </w:tabs>
      <w:spacing w:before="240"/>
      <w:jc w:val="left"/>
    </w:pPr>
  </w:style>
  <w:style w:type="paragraph" w:styleId="TOC7">
    <w:name w:val="toc 7"/>
    <w:basedOn w:val="Normal"/>
    <w:next w:val="Normal"/>
    <w:uiPriority w:val="39"/>
    <w:semiHidden/>
    <w:unhideWhenUsed/>
    <w:rsid w:val="00877878"/>
    <w:pPr>
      <w:tabs>
        <w:tab w:val="right" w:leader="dot" w:pos="9071"/>
      </w:tabs>
      <w:spacing w:before="180"/>
      <w:jc w:val="left"/>
    </w:pPr>
  </w:style>
  <w:style w:type="paragraph" w:styleId="TOC8">
    <w:name w:val="toc 8"/>
    <w:basedOn w:val="Normal"/>
    <w:next w:val="Normal"/>
    <w:uiPriority w:val="39"/>
    <w:semiHidden/>
    <w:unhideWhenUsed/>
    <w:rsid w:val="00877878"/>
    <w:pPr>
      <w:tabs>
        <w:tab w:val="right" w:leader="dot" w:pos="9071"/>
      </w:tabs>
      <w:jc w:val="left"/>
    </w:pPr>
  </w:style>
  <w:style w:type="paragraph" w:styleId="TOC9">
    <w:name w:val="toc 9"/>
    <w:basedOn w:val="Normal"/>
    <w:next w:val="Normal"/>
    <w:uiPriority w:val="39"/>
    <w:semiHidden/>
    <w:unhideWhenUsed/>
    <w:rsid w:val="00877878"/>
    <w:pPr>
      <w:tabs>
        <w:tab w:val="right" w:leader="dot" w:pos="9071"/>
      </w:tabs>
    </w:pPr>
  </w:style>
  <w:style w:type="paragraph" w:customStyle="1" w:styleId="HeaderLandscape">
    <w:name w:val="HeaderLandscape"/>
    <w:basedOn w:val="Normal"/>
    <w:rsid w:val="00036C46"/>
    <w:pPr>
      <w:tabs>
        <w:tab w:val="center" w:pos="7285"/>
        <w:tab w:val="right" w:pos="14003"/>
      </w:tabs>
      <w:spacing w:before="0"/>
    </w:pPr>
  </w:style>
  <w:style w:type="paragraph" w:customStyle="1" w:styleId="FooterLandscape">
    <w:name w:val="FooterLandscape"/>
    <w:basedOn w:val="Normal"/>
    <w:rsid w:val="00036C46"/>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877878"/>
    <w:rPr>
      <w:shd w:val="clear" w:color="auto" w:fill="auto"/>
      <w:vertAlign w:val="superscript"/>
    </w:rPr>
  </w:style>
  <w:style w:type="paragraph" w:customStyle="1" w:styleId="HeaderSensitivity">
    <w:name w:val="Header Sensitivity"/>
    <w:basedOn w:val="Normal"/>
    <w:rsid w:val="00036C46"/>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FooterSensitivity">
    <w:name w:val="Footer Sensitivity"/>
    <w:basedOn w:val="Normal"/>
    <w:rsid w:val="00036C46"/>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877878"/>
    <w:pPr>
      <w:ind w:left="850"/>
    </w:pPr>
  </w:style>
  <w:style w:type="paragraph" w:customStyle="1" w:styleId="Text2">
    <w:name w:val="Text 2"/>
    <w:basedOn w:val="Normal"/>
    <w:rsid w:val="00877878"/>
    <w:pPr>
      <w:ind w:left="1417"/>
    </w:pPr>
  </w:style>
  <w:style w:type="paragraph" w:customStyle="1" w:styleId="Text3">
    <w:name w:val="Text 3"/>
    <w:basedOn w:val="Normal"/>
    <w:rsid w:val="00877878"/>
    <w:pPr>
      <w:ind w:left="1984"/>
    </w:pPr>
  </w:style>
  <w:style w:type="paragraph" w:customStyle="1" w:styleId="Text4">
    <w:name w:val="Text 4"/>
    <w:basedOn w:val="Normal"/>
    <w:rsid w:val="00877878"/>
    <w:pPr>
      <w:ind w:left="2551"/>
    </w:pPr>
  </w:style>
  <w:style w:type="paragraph" w:customStyle="1" w:styleId="NormalCentered">
    <w:name w:val="Normal Centered"/>
    <w:basedOn w:val="Normal"/>
    <w:rsid w:val="00877878"/>
    <w:pPr>
      <w:jc w:val="center"/>
    </w:pPr>
  </w:style>
  <w:style w:type="paragraph" w:customStyle="1" w:styleId="NormalLeft">
    <w:name w:val="Normal Left"/>
    <w:basedOn w:val="Normal"/>
    <w:rsid w:val="00877878"/>
    <w:pPr>
      <w:jc w:val="left"/>
    </w:pPr>
  </w:style>
  <w:style w:type="paragraph" w:customStyle="1" w:styleId="NormalRight">
    <w:name w:val="Normal Right"/>
    <w:basedOn w:val="Normal"/>
    <w:rsid w:val="00877878"/>
    <w:pPr>
      <w:jc w:val="right"/>
    </w:pPr>
  </w:style>
  <w:style w:type="paragraph" w:customStyle="1" w:styleId="QuotedText">
    <w:name w:val="Quoted Text"/>
    <w:basedOn w:val="Normal"/>
    <w:rsid w:val="00877878"/>
    <w:pPr>
      <w:ind w:left="1417"/>
    </w:pPr>
  </w:style>
  <w:style w:type="paragraph" w:customStyle="1" w:styleId="Point0">
    <w:name w:val="Point 0"/>
    <w:basedOn w:val="Normal"/>
    <w:rsid w:val="00877878"/>
    <w:pPr>
      <w:ind w:left="850" w:hanging="850"/>
    </w:pPr>
  </w:style>
  <w:style w:type="paragraph" w:customStyle="1" w:styleId="Point1">
    <w:name w:val="Point 1"/>
    <w:basedOn w:val="Normal"/>
    <w:rsid w:val="00877878"/>
    <w:pPr>
      <w:ind w:left="1417" w:hanging="567"/>
    </w:pPr>
  </w:style>
  <w:style w:type="paragraph" w:customStyle="1" w:styleId="Point2">
    <w:name w:val="Point 2"/>
    <w:basedOn w:val="Normal"/>
    <w:rsid w:val="00877878"/>
    <w:pPr>
      <w:ind w:left="1984" w:hanging="567"/>
    </w:pPr>
  </w:style>
  <w:style w:type="paragraph" w:customStyle="1" w:styleId="Point3">
    <w:name w:val="Point 3"/>
    <w:basedOn w:val="Normal"/>
    <w:rsid w:val="00877878"/>
    <w:pPr>
      <w:ind w:left="2551" w:hanging="567"/>
    </w:pPr>
  </w:style>
  <w:style w:type="paragraph" w:customStyle="1" w:styleId="Point4">
    <w:name w:val="Point 4"/>
    <w:basedOn w:val="Normal"/>
    <w:rsid w:val="00877878"/>
    <w:pPr>
      <w:ind w:left="3118" w:hanging="567"/>
    </w:pPr>
  </w:style>
  <w:style w:type="paragraph" w:customStyle="1" w:styleId="Tiret0">
    <w:name w:val="Tiret 0"/>
    <w:basedOn w:val="Point0"/>
    <w:rsid w:val="00877878"/>
    <w:pPr>
      <w:numPr>
        <w:numId w:val="10"/>
      </w:numPr>
    </w:pPr>
  </w:style>
  <w:style w:type="paragraph" w:customStyle="1" w:styleId="Tiret1">
    <w:name w:val="Tiret 1"/>
    <w:basedOn w:val="Point1"/>
    <w:rsid w:val="00877878"/>
    <w:pPr>
      <w:numPr>
        <w:numId w:val="11"/>
      </w:numPr>
    </w:pPr>
  </w:style>
  <w:style w:type="paragraph" w:customStyle="1" w:styleId="Tiret2">
    <w:name w:val="Tiret 2"/>
    <w:basedOn w:val="Point2"/>
    <w:rsid w:val="00877878"/>
    <w:pPr>
      <w:numPr>
        <w:numId w:val="12"/>
      </w:numPr>
    </w:pPr>
  </w:style>
  <w:style w:type="paragraph" w:customStyle="1" w:styleId="Tiret3">
    <w:name w:val="Tiret 3"/>
    <w:basedOn w:val="Point3"/>
    <w:rsid w:val="00877878"/>
    <w:pPr>
      <w:numPr>
        <w:numId w:val="13"/>
      </w:numPr>
    </w:pPr>
  </w:style>
  <w:style w:type="paragraph" w:customStyle="1" w:styleId="Tiret4">
    <w:name w:val="Tiret 4"/>
    <w:basedOn w:val="Point4"/>
    <w:rsid w:val="00877878"/>
    <w:pPr>
      <w:numPr>
        <w:numId w:val="14"/>
      </w:numPr>
    </w:pPr>
  </w:style>
  <w:style w:type="paragraph" w:customStyle="1" w:styleId="PointDouble0">
    <w:name w:val="PointDouble 0"/>
    <w:basedOn w:val="Normal"/>
    <w:rsid w:val="00877878"/>
    <w:pPr>
      <w:tabs>
        <w:tab w:val="left" w:pos="850"/>
      </w:tabs>
      <w:ind w:left="1417" w:hanging="1417"/>
    </w:pPr>
  </w:style>
  <w:style w:type="paragraph" w:customStyle="1" w:styleId="PointDouble1">
    <w:name w:val="PointDouble 1"/>
    <w:basedOn w:val="Normal"/>
    <w:rsid w:val="00877878"/>
    <w:pPr>
      <w:tabs>
        <w:tab w:val="left" w:pos="1417"/>
      </w:tabs>
      <w:ind w:left="1984" w:hanging="1134"/>
    </w:pPr>
  </w:style>
  <w:style w:type="paragraph" w:customStyle="1" w:styleId="PointDouble2">
    <w:name w:val="PointDouble 2"/>
    <w:basedOn w:val="Normal"/>
    <w:rsid w:val="00877878"/>
    <w:pPr>
      <w:tabs>
        <w:tab w:val="left" w:pos="1984"/>
      </w:tabs>
      <w:ind w:left="2551" w:hanging="1134"/>
    </w:pPr>
  </w:style>
  <w:style w:type="paragraph" w:customStyle="1" w:styleId="PointDouble3">
    <w:name w:val="PointDouble 3"/>
    <w:basedOn w:val="Normal"/>
    <w:rsid w:val="00877878"/>
    <w:pPr>
      <w:tabs>
        <w:tab w:val="left" w:pos="2551"/>
      </w:tabs>
      <w:ind w:left="3118" w:hanging="1134"/>
    </w:pPr>
  </w:style>
  <w:style w:type="paragraph" w:customStyle="1" w:styleId="PointDouble4">
    <w:name w:val="PointDouble 4"/>
    <w:basedOn w:val="Normal"/>
    <w:rsid w:val="00877878"/>
    <w:pPr>
      <w:tabs>
        <w:tab w:val="left" w:pos="3118"/>
      </w:tabs>
      <w:ind w:left="3685" w:hanging="1134"/>
    </w:pPr>
  </w:style>
  <w:style w:type="paragraph" w:customStyle="1" w:styleId="PointTriple0">
    <w:name w:val="PointTriple 0"/>
    <w:basedOn w:val="Normal"/>
    <w:rsid w:val="00877878"/>
    <w:pPr>
      <w:tabs>
        <w:tab w:val="left" w:pos="850"/>
        <w:tab w:val="left" w:pos="1417"/>
      </w:tabs>
      <w:ind w:left="1984" w:hanging="1984"/>
    </w:pPr>
  </w:style>
  <w:style w:type="paragraph" w:customStyle="1" w:styleId="PointTriple1">
    <w:name w:val="PointTriple 1"/>
    <w:basedOn w:val="Normal"/>
    <w:rsid w:val="00877878"/>
    <w:pPr>
      <w:tabs>
        <w:tab w:val="left" w:pos="1417"/>
        <w:tab w:val="left" w:pos="1984"/>
      </w:tabs>
      <w:ind w:left="2551" w:hanging="1701"/>
    </w:pPr>
  </w:style>
  <w:style w:type="paragraph" w:customStyle="1" w:styleId="PointTriple2">
    <w:name w:val="PointTriple 2"/>
    <w:basedOn w:val="Normal"/>
    <w:rsid w:val="00877878"/>
    <w:pPr>
      <w:tabs>
        <w:tab w:val="left" w:pos="1984"/>
        <w:tab w:val="left" w:pos="2551"/>
      </w:tabs>
      <w:ind w:left="3118" w:hanging="1701"/>
    </w:pPr>
  </w:style>
  <w:style w:type="paragraph" w:customStyle="1" w:styleId="PointTriple3">
    <w:name w:val="PointTriple 3"/>
    <w:basedOn w:val="Normal"/>
    <w:rsid w:val="00877878"/>
    <w:pPr>
      <w:tabs>
        <w:tab w:val="left" w:pos="2551"/>
        <w:tab w:val="left" w:pos="3118"/>
      </w:tabs>
      <w:ind w:left="3685" w:hanging="1701"/>
    </w:pPr>
  </w:style>
  <w:style w:type="paragraph" w:customStyle="1" w:styleId="PointTriple4">
    <w:name w:val="PointTriple 4"/>
    <w:basedOn w:val="Normal"/>
    <w:rsid w:val="00877878"/>
    <w:pPr>
      <w:tabs>
        <w:tab w:val="left" w:pos="3118"/>
        <w:tab w:val="left" w:pos="3685"/>
      </w:tabs>
      <w:ind w:left="4252" w:hanging="1701"/>
    </w:pPr>
  </w:style>
  <w:style w:type="paragraph" w:customStyle="1" w:styleId="NumPar1">
    <w:name w:val="NumPar 1"/>
    <w:basedOn w:val="Normal"/>
    <w:next w:val="Text1"/>
    <w:rsid w:val="00877878"/>
    <w:pPr>
      <w:numPr>
        <w:numId w:val="15"/>
      </w:numPr>
    </w:pPr>
  </w:style>
  <w:style w:type="paragraph" w:customStyle="1" w:styleId="NumPar2">
    <w:name w:val="NumPar 2"/>
    <w:basedOn w:val="Normal"/>
    <w:next w:val="Text1"/>
    <w:rsid w:val="00877878"/>
    <w:pPr>
      <w:numPr>
        <w:ilvl w:val="1"/>
        <w:numId w:val="15"/>
      </w:numPr>
    </w:pPr>
  </w:style>
  <w:style w:type="paragraph" w:customStyle="1" w:styleId="NumPar3">
    <w:name w:val="NumPar 3"/>
    <w:basedOn w:val="Normal"/>
    <w:next w:val="Text1"/>
    <w:rsid w:val="00877878"/>
    <w:pPr>
      <w:numPr>
        <w:ilvl w:val="2"/>
        <w:numId w:val="15"/>
      </w:numPr>
    </w:pPr>
  </w:style>
  <w:style w:type="paragraph" w:customStyle="1" w:styleId="NumPar4">
    <w:name w:val="NumPar 4"/>
    <w:basedOn w:val="Normal"/>
    <w:next w:val="Text1"/>
    <w:rsid w:val="00877878"/>
    <w:pPr>
      <w:numPr>
        <w:ilvl w:val="3"/>
        <w:numId w:val="15"/>
      </w:numPr>
    </w:pPr>
  </w:style>
  <w:style w:type="paragraph" w:customStyle="1" w:styleId="ManualNumPar1">
    <w:name w:val="Manual NumPar 1"/>
    <w:basedOn w:val="Normal"/>
    <w:next w:val="Text1"/>
    <w:rsid w:val="00877878"/>
    <w:pPr>
      <w:ind w:left="850" w:hanging="850"/>
    </w:pPr>
  </w:style>
  <w:style w:type="paragraph" w:customStyle="1" w:styleId="ManualNumPar2">
    <w:name w:val="Manual NumPar 2"/>
    <w:basedOn w:val="Normal"/>
    <w:next w:val="Text1"/>
    <w:rsid w:val="00877878"/>
    <w:pPr>
      <w:ind w:left="850" w:hanging="850"/>
    </w:pPr>
  </w:style>
  <w:style w:type="paragraph" w:customStyle="1" w:styleId="ManualNumPar3">
    <w:name w:val="Manual NumPar 3"/>
    <w:basedOn w:val="Normal"/>
    <w:next w:val="Text1"/>
    <w:rsid w:val="00877878"/>
    <w:pPr>
      <w:ind w:left="850" w:hanging="850"/>
    </w:pPr>
  </w:style>
  <w:style w:type="paragraph" w:customStyle="1" w:styleId="ManualNumPar4">
    <w:name w:val="Manual NumPar 4"/>
    <w:basedOn w:val="Normal"/>
    <w:next w:val="Text1"/>
    <w:rsid w:val="00877878"/>
    <w:pPr>
      <w:ind w:left="850" w:hanging="850"/>
    </w:pPr>
  </w:style>
  <w:style w:type="paragraph" w:customStyle="1" w:styleId="QuotedNumPar">
    <w:name w:val="Quoted NumPar"/>
    <w:basedOn w:val="Normal"/>
    <w:rsid w:val="00877878"/>
    <w:pPr>
      <w:ind w:left="1417" w:hanging="567"/>
    </w:pPr>
  </w:style>
  <w:style w:type="paragraph" w:customStyle="1" w:styleId="ManualHeading1">
    <w:name w:val="Manual Heading 1"/>
    <w:basedOn w:val="Normal"/>
    <w:next w:val="Text1"/>
    <w:rsid w:val="0087787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877878"/>
    <w:pPr>
      <w:keepNext/>
      <w:tabs>
        <w:tab w:val="left" w:pos="850"/>
      </w:tabs>
      <w:ind w:left="850" w:hanging="850"/>
      <w:outlineLvl w:val="1"/>
    </w:pPr>
    <w:rPr>
      <w:b/>
    </w:rPr>
  </w:style>
  <w:style w:type="paragraph" w:customStyle="1" w:styleId="ManualHeading3">
    <w:name w:val="Manual Heading 3"/>
    <w:basedOn w:val="Normal"/>
    <w:next w:val="Text1"/>
    <w:rsid w:val="00877878"/>
    <w:pPr>
      <w:keepNext/>
      <w:tabs>
        <w:tab w:val="left" w:pos="850"/>
      </w:tabs>
      <w:ind w:left="850" w:hanging="850"/>
      <w:outlineLvl w:val="2"/>
    </w:pPr>
    <w:rPr>
      <w:i/>
    </w:rPr>
  </w:style>
  <w:style w:type="paragraph" w:customStyle="1" w:styleId="ManualHeading4">
    <w:name w:val="Manual Heading 4"/>
    <w:basedOn w:val="Normal"/>
    <w:next w:val="Text1"/>
    <w:rsid w:val="00877878"/>
    <w:pPr>
      <w:keepNext/>
      <w:tabs>
        <w:tab w:val="left" w:pos="850"/>
      </w:tabs>
      <w:ind w:left="850" w:hanging="850"/>
      <w:outlineLvl w:val="3"/>
    </w:pPr>
  </w:style>
  <w:style w:type="paragraph" w:customStyle="1" w:styleId="ChapterTitle">
    <w:name w:val="ChapterTitle"/>
    <w:basedOn w:val="Normal"/>
    <w:next w:val="Normal"/>
    <w:rsid w:val="00877878"/>
    <w:pPr>
      <w:keepNext/>
      <w:spacing w:after="360"/>
      <w:jc w:val="center"/>
    </w:pPr>
    <w:rPr>
      <w:b/>
      <w:sz w:val="32"/>
    </w:rPr>
  </w:style>
  <w:style w:type="paragraph" w:customStyle="1" w:styleId="PartTitle">
    <w:name w:val="PartTitle"/>
    <w:basedOn w:val="Normal"/>
    <w:next w:val="ChapterTitle"/>
    <w:rsid w:val="00877878"/>
    <w:pPr>
      <w:keepNext/>
      <w:pageBreakBefore/>
      <w:spacing w:after="360"/>
      <w:jc w:val="center"/>
    </w:pPr>
    <w:rPr>
      <w:b/>
      <w:sz w:val="36"/>
    </w:rPr>
  </w:style>
  <w:style w:type="paragraph" w:customStyle="1" w:styleId="SectionTitle">
    <w:name w:val="SectionTitle"/>
    <w:basedOn w:val="Normal"/>
    <w:next w:val="Heading1"/>
    <w:rsid w:val="00877878"/>
    <w:pPr>
      <w:keepNext/>
      <w:spacing w:after="360"/>
      <w:jc w:val="center"/>
    </w:pPr>
    <w:rPr>
      <w:b/>
      <w:smallCaps/>
      <w:sz w:val="28"/>
    </w:rPr>
  </w:style>
  <w:style w:type="paragraph" w:customStyle="1" w:styleId="TableTitle">
    <w:name w:val="Table Title"/>
    <w:basedOn w:val="Normal"/>
    <w:next w:val="Normal"/>
    <w:rsid w:val="00877878"/>
    <w:pPr>
      <w:jc w:val="center"/>
    </w:pPr>
    <w:rPr>
      <w:b/>
    </w:rPr>
  </w:style>
  <w:style w:type="character" w:customStyle="1" w:styleId="Marker">
    <w:name w:val="Marker"/>
    <w:basedOn w:val="DefaultParagraphFont"/>
    <w:rsid w:val="00877878"/>
    <w:rPr>
      <w:color w:val="0000FF"/>
      <w:shd w:val="clear" w:color="auto" w:fill="auto"/>
    </w:rPr>
  </w:style>
  <w:style w:type="character" w:customStyle="1" w:styleId="Marker1">
    <w:name w:val="Marker1"/>
    <w:basedOn w:val="DefaultParagraphFont"/>
    <w:rsid w:val="00877878"/>
    <w:rPr>
      <w:color w:val="008000"/>
      <w:shd w:val="clear" w:color="auto" w:fill="auto"/>
    </w:rPr>
  </w:style>
  <w:style w:type="character" w:customStyle="1" w:styleId="Marker2">
    <w:name w:val="Marker2"/>
    <w:basedOn w:val="DefaultParagraphFont"/>
    <w:rsid w:val="00877878"/>
    <w:rPr>
      <w:color w:val="FF0000"/>
      <w:shd w:val="clear" w:color="auto" w:fill="auto"/>
    </w:rPr>
  </w:style>
  <w:style w:type="paragraph" w:customStyle="1" w:styleId="Point0number">
    <w:name w:val="Point 0 (number)"/>
    <w:basedOn w:val="Normal"/>
    <w:rsid w:val="00877878"/>
    <w:pPr>
      <w:numPr>
        <w:numId w:val="17"/>
      </w:numPr>
    </w:pPr>
  </w:style>
  <w:style w:type="paragraph" w:customStyle="1" w:styleId="Point1number">
    <w:name w:val="Point 1 (number)"/>
    <w:basedOn w:val="Normal"/>
    <w:rsid w:val="00877878"/>
    <w:pPr>
      <w:numPr>
        <w:ilvl w:val="2"/>
        <w:numId w:val="17"/>
      </w:numPr>
    </w:pPr>
  </w:style>
  <w:style w:type="paragraph" w:customStyle="1" w:styleId="Point2number">
    <w:name w:val="Point 2 (number)"/>
    <w:basedOn w:val="Normal"/>
    <w:rsid w:val="00877878"/>
    <w:pPr>
      <w:numPr>
        <w:ilvl w:val="4"/>
        <w:numId w:val="17"/>
      </w:numPr>
    </w:pPr>
  </w:style>
  <w:style w:type="paragraph" w:customStyle="1" w:styleId="Point3number">
    <w:name w:val="Point 3 (number)"/>
    <w:basedOn w:val="Normal"/>
    <w:rsid w:val="00877878"/>
    <w:pPr>
      <w:numPr>
        <w:ilvl w:val="6"/>
        <w:numId w:val="17"/>
      </w:numPr>
    </w:pPr>
  </w:style>
  <w:style w:type="paragraph" w:customStyle="1" w:styleId="Point0letter">
    <w:name w:val="Point 0 (letter)"/>
    <w:basedOn w:val="Normal"/>
    <w:rsid w:val="00877878"/>
    <w:pPr>
      <w:numPr>
        <w:ilvl w:val="1"/>
        <w:numId w:val="17"/>
      </w:numPr>
    </w:pPr>
  </w:style>
  <w:style w:type="paragraph" w:customStyle="1" w:styleId="Point1letter">
    <w:name w:val="Point 1 (letter)"/>
    <w:basedOn w:val="Normal"/>
    <w:rsid w:val="00877878"/>
    <w:pPr>
      <w:numPr>
        <w:ilvl w:val="3"/>
        <w:numId w:val="17"/>
      </w:numPr>
    </w:pPr>
  </w:style>
  <w:style w:type="paragraph" w:customStyle="1" w:styleId="Point2letter">
    <w:name w:val="Point 2 (letter)"/>
    <w:basedOn w:val="Normal"/>
    <w:rsid w:val="00877878"/>
    <w:pPr>
      <w:numPr>
        <w:ilvl w:val="5"/>
        <w:numId w:val="17"/>
      </w:numPr>
    </w:pPr>
  </w:style>
  <w:style w:type="paragraph" w:customStyle="1" w:styleId="Point3letter">
    <w:name w:val="Point 3 (letter)"/>
    <w:basedOn w:val="Normal"/>
    <w:rsid w:val="00877878"/>
    <w:pPr>
      <w:numPr>
        <w:ilvl w:val="7"/>
        <w:numId w:val="17"/>
      </w:numPr>
    </w:pPr>
  </w:style>
  <w:style w:type="paragraph" w:customStyle="1" w:styleId="Point4letter">
    <w:name w:val="Point 4 (letter)"/>
    <w:basedOn w:val="Normal"/>
    <w:rsid w:val="00877878"/>
    <w:pPr>
      <w:numPr>
        <w:ilvl w:val="8"/>
        <w:numId w:val="17"/>
      </w:numPr>
    </w:pPr>
  </w:style>
  <w:style w:type="paragraph" w:customStyle="1" w:styleId="Bullet0">
    <w:name w:val="Bullet 0"/>
    <w:basedOn w:val="Normal"/>
    <w:rsid w:val="00877878"/>
    <w:pPr>
      <w:numPr>
        <w:numId w:val="18"/>
      </w:numPr>
    </w:pPr>
  </w:style>
  <w:style w:type="paragraph" w:customStyle="1" w:styleId="Bullet1">
    <w:name w:val="Bullet 1"/>
    <w:basedOn w:val="Normal"/>
    <w:rsid w:val="00877878"/>
    <w:pPr>
      <w:numPr>
        <w:numId w:val="19"/>
      </w:numPr>
    </w:pPr>
  </w:style>
  <w:style w:type="paragraph" w:customStyle="1" w:styleId="Bullet2">
    <w:name w:val="Bullet 2"/>
    <w:basedOn w:val="Normal"/>
    <w:rsid w:val="00877878"/>
    <w:pPr>
      <w:numPr>
        <w:numId w:val="20"/>
      </w:numPr>
    </w:pPr>
  </w:style>
  <w:style w:type="paragraph" w:customStyle="1" w:styleId="Bullet3">
    <w:name w:val="Bullet 3"/>
    <w:basedOn w:val="Normal"/>
    <w:rsid w:val="00877878"/>
    <w:pPr>
      <w:numPr>
        <w:numId w:val="21"/>
      </w:numPr>
    </w:pPr>
  </w:style>
  <w:style w:type="paragraph" w:customStyle="1" w:styleId="Bullet4">
    <w:name w:val="Bullet 4"/>
    <w:basedOn w:val="Normal"/>
    <w:rsid w:val="00877878"/>
    <w:pPr>
      <w:numPr>
        <w:numId w:val="22"/>
      </w:numPr>
    </w:pPr>
  </w:style>
  <w:style w:type="paragraph" w:customStyle="1" w:styleId="Langue">
    <w:name w:val="Langue"/>
    <w:basedOn w:val="Normal"/>
    <w:next w:val="Rfrenceinterne"/>
    <w:rsid w:val="0087787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877878"/>
    <w:pPr>
      <w:spacing w:before="0" w:after="0"/>
      <w:jc w:val="left"/>
    </w:pPr>
    <w:rPr>
      <w:rFonts w:ascii="Arial" w:hAnsi="Arial" w:cs="Arial"/>
    </w:rPr>
  </w:style>
  <w:style w:type="paragraph" w:customStyle="1" w:styleId="Emission">
    <w:name w:val="Emission"/>
    <w:basedOn w:val="Normal"/>
    <w:next w:val="Rfrenceinstitutionnelle"/>
    <w:rsid w:val="00877878"/>
    <w:pPr>
      <w:spacing w:before="0" w:after="0"/>
      <w:ind w:left="5103"/>
      <w:jc w:val="left"/>
    </w:pPr>
  </w:style>
  <w:style w:type="paragraph" w:customStyle="1" w:styleId="Rfrenceinstitutionnelle">
    <w:name w:val="Référence institutionnelle"/>
    <w:basedOn w:val="Normal"/>
    <w:next w:val="Confidentialit"/>
    <w:rsid w:val="00877878"/>
    <w:pPr>
      <w:spacing w:before="0" w:after="240"/>
      <w:ind w:left="5103"/>
      <w:jc w:val="left"/>
    </w:pPr>
  </w:style>
  <w:style w:type="paragraph" w:customStyle="1" w:styleId="Pagedecouverture">
    <w:name w:val="Page de couverture"/>
    <w:basedOn w:val="Normal"/>
    <w:next w:val="Normal"/>
    <w:rsid w:val="00877878"/>
    <w:pPr>
      <w:spacing w:before="0" w:after="0"/>
    </w:pPr>
  </w:style>
  <w:style w:type="paragraph" w:customStyle="1" w:styleId="Declassification">
    <w:name w:val="Declassification"/>
    <w:basedOn w:val="Normal"/>
    <w:next w:val="Normal"/>
    <w:rsid w:val="00877878"/>
    <w:pPr>
      <w:spacing w:before="0" w:after="0"/>
    </w:pPr>
  </w:style>
  <w:style w:type="paragraph" w:customStyle="1" w:styleId="Disclaimer">
    <w:name w:val="Disclaimer"/>
    <w:basedOn w:val="Normal"/>
    <w:rsid w:val="0087787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Annexetitreexpos">
    <w:name w:val="Annexe titre (exposé)"/>
    <w:basedOn w:val="Normal"/>
    <w:next w:val="Normal"/>
    <w:rsid w:val="00877878"/>
    <w:pPr>
      <w:jc w:val="center"/>
    </w:pPr>
    <w:rPr>
      <w:b/>
      <w:u w:val="single"/>
    </w:rPr>
  </w:style>
  <w:style w:type="paragraph" w:customStyle="1" w:styleId="Annexetitre">
    <w:name w:val="Annexe titre"/>
    <w:basedOn w:val="Normal"/>
    <w:next w:val="Normal"/>
    <w:rsid w:val="00877878"/>
    <w:pPr>
      <w:jc w:val="center"/>
    </w:pPr>
    <w:rPr>
      <w:b/>
      <w:u w:val="single"/>
    </w:rPr>
  </w:style>
  <w:style w:type="paragraph" w:customStyle="1" w:styleId="Annexetitrefichefinancire">
    <w:name w:val="Annexe titre (fiche financière)"/>
    <w:basedOn w:val="Normal"/>
    <w:next w:val="Normal"/>
    <w:rsid w:val="00877878"/>
    <w:pPr>
      <w:jc w:val="center"/>
    </w:pPr>
    <w:rPr>
      <w:b/>
      <w:u w:val="single"/>
    </w:rPr>
  </w:style>
  <w:style w:type="paragraph" w:customStyle="1" w:styleId="Applicationdirecte">
    <w:name w:val="Application directe"/>
    <w:basedOn w:val="Normal"/>
    <w:next w:val="Fait"/>
    <w:rsid w:val="00877878"/>
    <w:pPr>
      <w:spacing w:before="480"/>
    </w:pPr>
  </w:style>
  <w:style w:type="paragraph" w:customStyle="1" w:styleId="Avertissementtitre">
    <w:name w:val="Avertissement titre"/>
    <w:basedOn w:val="Normal"/>
    <w:next w:val="Normal"/>
    <w:rsid w:val="00877878"/>
    <w:pPr>
      <w:keepNext/>
      <w:spacing w:before="480"/>
    </w:pPr>
    <w:rPr>
      <w:u w:val="single"/>
    </w:rPr>
  </w:style>
  <w:style w:type="paragraph" w:customStyle="1" w:styleId="Confidence">
    <w:name w:val="Confidence"/>
    <w:basedOn w:val="Normal"/>
    <w:next w:val="Normal"/>
    <w:rsid w:val="00877878"/>
    <w:pPr>
      <w:spacing w:before="360"/>
      <w:jc w:val="center"/>
    </w:pPr>
  </w:style>
  <w:style w:type="paragraph" w:customStyle="1" w:styleId="Confidentialit">
    <w:name w:val="Confidentialité"/>
    <w:basedOn w:val="Normal"/>
    <w:next w:val="TypedudocumentPagedecouverture"/>
    <w:rsid w:val="00877878"/>
    <w:pPr>
      <w:spacing w:before="240" w:after="240"/>
      <w:ind w:left="5103"/>
      <w:jc w:val="left"/>
    </w:pPr>
    <w:rPr>
      <w:i/>
      <w:sz w:val="32"/>
    </w:rPr>
  </w:style>
  <w:style w:type="paragraph" w:customStyle="1" w:styleId="Considrant">
    <w:name w:val="Considérant"/>
    <w:basedOn w:val="Normal"/>
    <w:rsid w:val="00877878"/>
    <w:pPr>
      <w:numPr>
        <w:numId w:val="23"/>
      </w:numPr>
    </w:pPr>
  </w:style>
  <w:style w:type="paragraph" w:customStyle="1" w:styleId="Corrigendum">
    <w:name w:val="Corrigendum"/>
    <w:basedOn w:val="Normal"/>
    <w:next w:val="Normal"/>
    <w:rsid w:val="00877878"/>
    <w:pPr>
      <w:spacing w:before="0" w:after="240"/>
      <w:jc w:val="left"/>
    </w:pPr>
  </w:style>
  <w:style w:type="paragraph" w:customStyle="1" w:styleId="Datedadoption">
    <w:name w:val="Date d'adoption"/>
    <w:basedOn w:val="Normal"/>
    <w:next w:val="Titreobjet"/>
    <w:rsid w:val="00877878"/>
    <w:pPr>
      <w:spacing w:before="360" w:after="0"/>
      <w:jc w:val="center"/>
    </w:pPr>
    <w:rPr>
      <w:b/>
    </w:rPr>
  </w:style>
  <w:style w:type="paragraph" w:customStyle="1" w:styleId="Exposdesmotifstitre">
    <w:name w:val="Exposé des motifs titre"/>
    <w:basedOn w:val="Normal"/>
    <w:next w:val="Normal"/>
    <w:rsid w:val="00877878"/>
    <w:pPr>
      <w:jc w:val="center"/>
    </w:pPr>
    <w:rPr>
      <w:b/>
      <w:u w:val="single"/>
    </w:rPr>
  </w:style>
  <w:style w:type="paragraph" w:customStyle="1" w:styleId="Fait">
    <w:name w:val="Fait à"/>
    <w:basedOn w:val="Normal"/>
    <w:next w:val="Institutionquisigne"/>
    <w:rsid w:val="00877878"/>
    <w:pPr>
      <w:keepNext/>
      <w:spacing w:after="0"/>
    </w:pPr>
  </w:style>
  <w:style w:type="paragraph" w:customStyle="1" w:styleId="Formuledadoption">
    <w:name w:val="Formule d'adoption"/>
    <w:basedOn w:val="Normal"/>
    <w:next w:val="Titrearticle"/>
    <w:rsid w:val="00877878"/>
    <w:pPr>
      <w:keepNext/>
    </w:pPr>
  </w:style>
  <w:style w:type="paragraph" w:customStyle="1" w:styleId="Institutionquiagit">
    <w:name w:val="Institution qui agit"/>
    <w:basedOn w:val="Normal"/>
    <w:next w:val="Normal"/>
    <w:rsid w:val="00877878"/>
    <w:pPr>
      <w:keepNext/>
      <w:spacing w:before="600"/>
    </w:pPr>
  </w:style>
  <w:style w:type="paragraph" w:customStyle="1" w:styleId="Institutionquisigne">
    <w:name w:val="Institution qui signe"/>
    <w:basedOn w:val="Normal"/>
    <w:next w:val="Personnequisigne"/>
    <w:rsid w:val="00877878"/>
    <w:pPr>
      <w:keepNext/>
      <w:tabs>
        <w:tab w:val="left" w:pos="4252"/>
      </w:tabs>
      <w:spacing w:before="720" w:after="0"/>
    </w:pPr>
    <w:rPr>
      <w:i/>
    </w:rPr>
  </w:style>
  <w:style w:type="paragraph" w:customStyle="1" w:styleId="ManualConsidrant">
    <w:name w:val="Manual Considérant"/>
    <w:basedOn w:val="Normal"/>
    <w:rsid w:val="00877878"/>
    <w:pPr>
      <w:ind w:left="709" w:hanging="709"/>
    </w:pPr>
  </w:style>
  <w:style w:type="paragraph" w:customStyle="1" w:styleId="Personnequisigne">
    <w:name w:val="Personne qui signe"/>
    <w:basedOn w:val="Normal"/>
    <w:next w:val="Institutionquisigne"/>
    <w:rsid w:val="00877878"/>
    <w:pPr>
      <w:tabs>
        <w:tab w:val="left" w:pos="4252"/>
      </w:tabs>
      <w:spacing w:before="0" w:after="0"/>
      <w:jc w:val="left"/>
    </w:pPr>
    <w:rPr>
      <w:i/>
    </w:rPr>
  </w:style>
  <w:style w:type="paragraph" w:customStyle="1" w:styleId="Rfrenceinterinstitutionnelle">
    <w:name w:val="Référence interinstitutionnelle"/>
    <w:basedOn w:val="Normal"/>
    <w:next w:val="Statut"/>
    <w:rsid w:val="00877878"/>
    <w:pPr>
      <w:spacing w:before="0" w:after="0"/>
      <w:ind w:left="5103"/>
      <w:jc w:val="left"/>
    </w:pPr>
  </w:style>
  <w:style w:type="paragraph" w:customStyle="1" w:styleId="Rfrenceinterne">
    <w:name w:val="Référence interne"/>
    <w:basedOn w:val="Normal"/>
    <w:next w:val="Rfrenceinterinstitutionnelle"/>
    <w:rsid w:val="00877878"/>
    <w:pPr>
      <w:spacing w:before="0" w:after="0"/>
      <w:ind w:left="5103"/>
      <w:jc w:val="left"/>
    </w:pPr>
  </w:style>
  <w:style w:type="paragraph" w:customStyle="1" w:styleId="Statut">
    <w:name w:val="Statut"/>
    <w:basedOn w:val="Normal"/>
    <w:next w:val="Typedudocument"/>
    <w:rsid w:val="00877878"/>
    <w:pPr>
      <w:spacing w:before="360" w:after="0"/>
      <w:jc w:val="center"/>
    </w:pPr>
  </w:style>
  <w:style w:type="paragraph" w:customStyle="1" w:styleId="Titrearticle">
    <w:name w:val="Titre article"/>
    <w:basedOn w:val="Normal"/>
    <w:next w:val="Normal"/>
    <w:rsid w:val="00877878"/>
    <w:pPr>
      <w:keepNext/>
      <w:spacing w:before="360"/>
      <w:jc w:val="center"/>
    </w:pPr>
    <w:rPr>
      <w:i/>
    </w:rPr>
  </w:style>
  <w:style w:type="paragraph" w:customStyle="1" w:styleId="Titreobjet">
    <w:name w:val="Titre objet"/>
    <w:basedOn w:val="Normal"/>
    <w:next w:val="IntrtEEE"/>
    <w:rsid w:val="00877878"/>
    <w:pPr>
      <w:spacing w:before="360" w:after="360"/>
      <w:jc w:val="center"/>
    </w:pPr>
    <w:rPr>
      <w:b/>
    </w:rPr>
  </w:style>
  <w:style w:type="paragraph" w:customStyle="1" w:styleId="Typedudocument">
    <w:name w:val="Type du document"/>
    <w:basedOn w:val="Normal"/>
    <w:next w:val="Titreobjet"/>
    <w:rsid w:val="00877878"/>
    <w:pPr>
      <w:spacing w:before="360" w:after="0"/>
      <w:jc w:val="center"/>
    </w:pPr>
    <w:rPr>
      <w:b/>
    </w:rPr>
  </w:style>
  <w:style w:type="character" w:customStyle="1" w:styleId="Added">
    <w:name w:val="Added"/>
    <w:basedOn w:val="DefaultParagraphFont"/>
    <w:rsid w:val="00877878"/>
    <w:rPr>
      <w:b/>
      <w:u w:val="single"/>
      <w:shd w:val="clear" w:color="auto" w:fill="auto"/>
    </w:rPr>
  </w:style>
  <w:style w:type="character" w:customStyle="1" w:styleId="Deleted">
    <w:name w:val="Deleted"/>
    <w:basedOn w:val="DefaultParagraphFont"/>
    <w:rsid w:val="00877878"/>
    <w:rPr>
      <w:strike/>
      <w:dstrike w:val="0"/>
      <w:shd w:val="clear" w:color="auto" w:fill="auto"/>
    </w:rPr>
  </w:style>
  <w:style w:type="paragraph" w:customStyle="1" w:styleId="Address">
    <w:name w:val="Address"/>
    <w:basedOn w:val="Normal"/>
    <w:next w:val="Normal"/>
    <w:rsid w:val="00877878"/>
    <w:pPr>
      <w:keepLines/>
      <w:spacing w:line="360" w:lineRule="auto"/>
      <w:ind w:left="3402"/>
      <w:jc w:val="left"/>
    </w:pPr>
  </w:style>
  <w:style w:type="paragraph" w:customStyle="1" w:styleId="Objetexterne">
    <w:name w:val="Objet externe"/>
    <w:basedOn w:val="Normal"/>
    <w:next w:val="Normal"/>
    <w:rsid w:val="00877878"/>
    <w:rPr>
      <w:i/>
      <w:caps/>
    </w:rPr>
  </w:style>
  <w:style w:type="paragraph" w:customStyle="1" w:styleId="Supertitre">
    <w:name w:val="Supertitre"/>
    <w:basedOn w:val="Normal"/>
    <w:next w:val="Normal"/>
    <w:rsid w:val="00877878"/>
    <w:pPr>
      <w:spacing w:before="0" w:after="600"/>
      <w:jc w:val="center"/>
    </w:pPr>
    <w:rPr>
      <w:b/>
    </w:rPr>
  </w:style>
  <w:style w:type="paragraph" w:customStyle="1" w:styleId="Languesfaisantfoi">
    <w:name w:val="Langues faisant foi"/>
    <w:basedOn w:val="Normal"/>
    <w:next w:val="Normal"/>
    <w:rsid w:val="00877878"/>
    <w:pPr>
      <w:spacing w:before="360" w:after="0"/>
      <w:jc w:val="center"/>
    </w:pPr>
  </w:style>
  <w:style w:type="paragraph" w:customStyle="1" w:styleId="Rfrencecroise">
    <w:name w:val="Référence croisée"/>
    <w:basedOn w:val="Normal"/>
    <w:rsid w:val="00877878"/>
    <w:pPr>
      <w:spacing w:before="0" w:after="0"/>
      <w:jc w:val="center"/>
    </w:pPr>
  </w:style>
  <w:style w:type="paragraph" w:customStyle="1" w:styleId="Fichefinanciretitre">
    <w:name w:val="Fiche financière titre"/>
    <w:basedOn w:val="Normal"/>
    <w:next w:val="Normal"/>
    <w:rsid w:val="00877878"/>
    <w:pPr>
      <w:jc w:val="center"/>
    </w:pPr>
    <w:rPr>
      <w:b/>
      <w:u w:val="single"/>
    </w:rPr>
  </w:style>
  <w:style w:type="paragraph" w:customStyle="1" w:styleId="DatedadoptionPagedecouverture">
    <w:name w:val="Date d'adoption (Page de couverture)"/>
    <w:basedOn w:val="Datedadoption"/>
    <w:next w:val="TitreobjetPagedecouverture"/>
    <w:rsid w:val="00877878"/>
  </w:style>
  <w:style w:type="paragraph" w:customStyle="1" w:styleId="RfrenceinterinstitutionnellePagedecouverture">
    <w:name w:val="Référence interinstitutionnelle (Page de couverture)"/>
    <w:basedOn w:val="Rfrenceinterinstitutionnelle"/>
    <w:next w:val="Confidentialit"/>
    <w:rsid w:val="00877878"/>
  </w:style>
  <w:style w:type="paragraph" w:customStyle="1" w:styleId="StatutPagedecouverture">
    <w:name w:val="Statut (Page de couverture)"/>
    <w:basedOn w:val="Statut"/>
    <w:next w:val="TypedudocumentPagedecouverture"/>
    <w:rsid w:val="00877878"/>
  </w:style>
  <w:style w:type="paragraph" w:customStyle="1" w:styleId="TitreobjetPagedecouverture">
    <w:name w:val="Titre objet (Page de couverture)"/>
    <w:basedOn w:val="Titreobjet"/>
    <w:next w:val="IntrtEEEPagedecouverture"/>
    <w:rsid w:val="00877878"/>
  </w:style>
  <w:style w:type="paragraph" w:customStyle="1" w:styleId="TypedudocumentPagedecouverture">
    <w:name w:val="Type du document (Page de couverture)"/>
    <w:basedOn w:val="Typedudocument"/>
    <w:next w:val="TitreobjetPagedecouverture"/>
    <w:rsid w:val="00877878"/>
  </w:style>
  <w:style w:type="paragraph" w:customStyle="1" w:styleId="Volume">
    <w:name w:val="Volume"/>
    <w:basedOn w:val="Normal"/>
    <w:next w:val="Confidentialit"/>
    <w:rsid w:val="00877878"/>
    <w:pPr>
      <w:spacing w:before="0" w:after="240"/>
      <w:ind w:left="5103"/>
      <w:jc w:val="left"/>
    </w:pPr>
  </w:style>
  <w:style w:type="paragraph" w:customStyle="1" w:styleId="IntrtEEE">
    <w:name w:val="Intérêt EEE"/>
    <w:basedOn w:val="Languesfaisantfoi"/>
    <w:next w:val="Normal"/>
    <w:rsid w:val="00877878"/>
    <w:pPr>
      <w:spacing w:after="240"/>
    </w:pPr>
  </w:style>
  <w:style w:type="paragraph" w:customStyle="1" w:styleId="Accompagnant">
    <w:name w:val="Accompagnant"/>
    <w:basedOn w:val="Normal"/>
    <w:next w:val="Typeacteprincipal"/>
    <w:rsid w:val="00877878"/>
    <w:pPr>
      <w:spacing w:before="0" w:after="240"/>
      <w:jc w:val="center"/>
    </w:pPr>
    <w:rPr>
      <w:b/>
      <w:i/>
    </w:rPr>
  </w:style>
  <w:style w:type="paragraph" w:customStyle="1" w:styleId="Typeacteprincipal">
    <w:name w:val="Type acte principal"/>
    <w:basedOn w:val="Normal"/>
    <w:next w:val="Objetacteprincipal"/>
    <w:rsid w:val="00877878"/>
    <w:pPr>
      <w:spacing w:before="0" w:after="240"/>
      <w:jc w:val="center"/>
    </w:pPr>
    <w:rPr>
      <w:b/>
    </w:rPr>
  </w:style>
  <w:style w:type="paragraph" w:customStyle="1" w:styleId="Objetacteprincipal">
    <w:name w:val="Objet acte principal"/>
    <w:basedOn w:val="Normal"/>
    <w:next w:val="Titrearticle"/>
    <w:rsid w:val="00877878"/>
    <w:pPr>
      <w:spacing w:before="0" w:after="360"/>
      <w:jc w:val="center"/>
    </w:pPr>
    <w:rPr>
      <w:b/>
    </w:rPr>
  </w:style>
  <w:style w:type="paragraph" w:customStyle="1" w:styleId="IntrtEEEPagedecouverture">
    <w:name w:val="Intérêt EEE (Page de couverture)"/>
    <w:basedOn w:val="IntrtEEE"/>
    <w:next w:val="Rfrencecroise"/>
    <w:rsid w:val="00877878"/>
  </w:style>
  <w:style w:type="paragraph" w:customStyle="1" w:styleId="AccompagnantPagedecouverture">
    <w:name w:val="Accompagnant (Page de couverture)"/>
    <w:basedOn w:val="Accompagnant"/>
    <w:next w:val="TypeacteprincipalPagedecouverture"/>
    <w:rsid w:val="00877878"/>
  </w:style>
  <w:style w:type="paragraph" w:customStyle="1" w:styleId="TypeacteprincipalPagedecouverture">
    <w:name w:val="Type acte principal (Page de couverture)"/>
    <w:basedOn w:val="Typeacteprincipal"/>
    <w:next w:val="ObjetacteprincipalPagedecouverture"/>
    <w:rsid w:val="00877878"/>
  </w:style>
  <w:style w:type="paragraph" w:customStyle="1" w:styleId="ObjetacteprincipalPagedecouverture">
    <w:name w:val="Objet acte principal (Page de couverture)"/>
    <w:basedOn w:val="Objetacteprincipal"/>
    <w:next w:val="Rfrencecroise"/>
    <w:rsid w:val="00877878"/>
  </w:style>
  <w:style w:type="paragraph" w:customStyle="1" w:styleId="LanguesfaisantfoiPagedecouverture">
    <w:name w:val="Langues faisant foi (Page de couverture)"/>
    <w:basedOn w:val="Normal"/>
    <w:next w:val="Normal"/>
    <w:rsid w:val="00877878"/>
    <w:pPr>
      <w:spacing w:before="360" w:after="0"/>
      <w:jc w:val="center"/>
    </w:pPr>
  </w:style>
  <w:style w:type="character" w:styleId="PlaceholderText">
    <w:name w:val="Placeholder Text"/>
    <w:basedOn w:val="DefaultParagraphFont"/>
    <w:uiPriority w:val="99"/>
    <w:semiHidden/>
    <w:rsid w:val="000F374C"/>
    <w:rPr>
      <w:color w:val="808080"/>
    </w:rPr>
  </w:style>
  <w:style w:type="character" w:customStyle="1" w:styleId="ListParagraphChar">
    <w:name w:val="List Paragraph Char"/>
    <w:aliases w:val="List Passage Char,Paragraph Char,Paragraphe de liste PBLH Char,Normal bullet 2 Char,Bullet list Char,Figure_name Char,Equipment Char,Numbered Indented Text Char,List Paragraph1 Char,lp1 Char,List Paragraph11 Char,Citation List Char"/>
    <w:link w:val="ListParagraph"/>
    <w:uiPriority w:val="34"/>
    <w:locked/>
    <w:rsid w:val="007E0E6D"/>
    <w:rPr>
      <w:rFonts w:ascii="Times New Roman" w:eastAsia="Calibri" w:hAnsi="Times New Roman" w:cs="Times New Roman"/>
      <w:lang w:val="en-GB"/>
    </w:rPr>
  </w:style>
  <w:style w:type="paragraph" w:customStyle="1" w:styleId="CM1">
    <w:name w:val="CM1"/>
    <w:basedOn w:val="Default"/>
    <w:next w:val="Default"/>
    <w:uiPriority w:val="99"/>
    <w:rsid w:val="00F54294"/>
    <w:rPr>
      <w:rFonts w:cstheme="minorBidi"/>
      <w:color w:val="auto"/>
    </w:rPr>
  </w:style>
  <w:style w:type="paragraph" w:customStyle="1" w:styleId="CM3">
    <w:name w:val="CM3"/>
    <w:basedOn w:val="Default"/>
    <w:next w:val="Default"/>
    <w:uiPriority w:val="99"/>
    <w:rsid w:val="00F54294"/>
    <w:rPr>
      <w:rFonts w:cstheme="minorBidi"/>
      <w:color w:val="auto"/>
    </w:rPr>
  </w:style>
  <w:style w:type="paragraph" w:styleId="NormalWeb">
    <w:name w:val="Normal (Web)"/>
    <w:basedOn w:val="Normal"/>
    <w:uiPriority w:val="99"/>
    <w:semiHidden/>
    <w:unhideWhenUsed/>
    <w:rsid w:val="00813F69"/>
    <w:pPr>
      <w:spacing w:before="100" w:beforeAutospacing="1" w:after="100" w:afterAutospacing="1"/>
      <w:jc w:val="left"/>
    </w:pPr>
    <w:rPr>
      <w:rFonts w:eastAsia="Times New Roman"/>
      <w:szCs w:val="24"/>
      <w:lang w:eastAsia="en-GB"/>
    </w:rPr>
  </w:style>
  <w:style w:type="character" w:styleId="Emphasis">
    <w:name w:val="Emphasis"/>
    <w:basedOn w:val="DefaultParagraphFont"/>
    <w:uiPriority w:val="20"/>
    <w:qFormat/>
    <w:rsid w:val="00813F69"/>
    <w:rPr>
      <w:i/>
      <w:iCs/>
    </w:rPr>
  </w:style>
  <w:style w:type="table" w:customStyle="1" w:styleId="Style1">
    <w:name w:val="Style1"/>
    <w:basedOn w:val="TableNormal"/>
    <w:uiPriority w:val="99"/>
    <w:rsid w:val="00D25F6B"/>
    <w:pPr>
      <w:spacing w:after="0" w:line="240" w:lineRule="auto"/>
    </w:pPr>
    <w:rPr>
      <w:rFonts w:eastAsiaTheme="minorEastAsia"/>
      <w:lang w:val="nl-N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cPr>
      <w:shd w:val="clear" w:color="auto" w:fill="FFFFFF" w:themeFill="background1"/>
    </w:tcPr>
    <w:tblStylePr w:type="firstRow">
      <w:rPr>
        <w:rFonts w:ascii="Corbel" w:hAnsi="Corbel"/>
        <w:b/>
        <w:color w:val="FFFFFF"/>
        <w:sz w:val="20"/>
      </w:rPr>
      <w:tblPr/>
      <w:tcPr>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cBorders>
        <w:shd w:val="clear" w:color="auto" w:fill="244061" w:themeFill="accent1" w:themeFillShade="80"/>
      </w:tcPr>
    </w:tblStylePr>
  </w:style>
  <w:style w:type="paragraph" w:customStyle="1" w:styleId="Tablestyle">
    <w:name w:val="Table style"/>
    <w:basedOn w:val="Normal"/>
    <w:link w:val="TablestyleChar"/>
    <w:qFormat/>
    <w:rsid w:val="00D25F6B"/>
    <w:pPr>
      <w:spacing w:before="0" w:after="0" w:line="276" w:lineRule="auto"/>
      <w:jc w:val="left"/>
    </w:pPr>
    <w:rPr>
      <w:rFonts w:asciiTheme="minorHAnsi" w:eastAsia="Times New Roman" w:hAnsiTheme="minorHAnsi" w:cstheme="minorHAnsi"/>
      <w:sz w:val="22"/>
    </w:rPr>
  </w:style>
  <w:style w:type="character" w:customStyle="1" w:styleId="TablestyleChar">
    <w:name w:val="Table style Char"/>
    <w:basedOn w:val="DefaultParagraphFont"/>
    <w:link w:val="Tablestyle"/>
    <w:rsid w:val="00D25F6B"/>
    <w:rPr>
      <w:rFonts w:eastAsia="Times New Roman" w:cstheme="minorHAnsi"/>
      <w:lang w:val="en-GB"/>
    </w:rPr>
  </w:style>
  <w:style w:type="paragraph" w:customStyle="1" w:styleId="Text5">
    <w:name w:val="Text 5"/>
    <w:basedOn w:val="Tiret4"/>
    <w:rsid w:val="0098398E"/>
    <w:pPr>
      <w:numPr>
        <w:numId w:val="0"/>
      </w:numPr>
      <w:ind w:left="3118"/>
    </w:pPr>
  </w:style>
  <w:style w:type="table" w:styleId="TableGrid">
    <w:name w:val="Table Grid"/>
    <w:basedOn w:val="TableNormal"/>
    <w:uiPriority w:val="39"/>
    <w:rsid w:val="004C1309"/>
    <w:pPr>
      <w:spacing w:after="0" w:line="240" w:lineRule="auto"/>
    </w:pPr>
    <w:rPr>
      <w:rFonts w:eastAsiaTheme="minorEastAsia"/>
      <w:lang w:val="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Light">
    <w:name w:val="Grid Table Light"/>
    <w:basedOn w:val="TableNormal"/>
    <w:uiPriority w:val="40"/>
    <w:rsid w:val="00625B2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2">
    <w:name w:val="Plain Table 2"/>
    <w:basedOn w:val="TableNormal"/>
    <w:uiPriority w:val="42"/>
    <w:rsid w:val="000147DF"/>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369947">
      <w:bodyDiv w:val="1"/>
      <w:marLeft w:val="0"/>
      <w:marRight w:val="0"/>
      <w:marTop w:val="0"/>
      <w:marBottom w:val="0"/>
      <w:divBdr>
        <w:top w:val="none" w:sz="0" w:space="0" w:color="auto"/>
        <w:left w:val="none" w:sz="0" w:space="0" w:color="auto"/>
        <w:bottom w:val="none" w:sz="0" w:space="0" w:color="auto"/>
        <w:right w:val="none" w:sz="0" w:space="0" w:color="auto"/>
      </w:divBdr>
    </w:div>
    <w:div w:id="288247710">
      <w:bodyDiv w:val="1"/>
      <w:marLeft w:val="0"/>
      <w:marRight w:val="0"/>
      <w:marTop w:val="0"/>
      <w:marBottom w:val="0"/>
      <w:divBdr>
        <w:top w:val="none" w:sz="0" w:space="0" w:color="auto"/>
        <w:left w:val="none" w:sz="0" w:space="0" w:color="auto"/>
        <w:bottom w:val="none" w:sz="0" w:space="0" w:color="auto"/>
        <w:right w:val="none" w:sz="0" w:space="0" w:color="auto"/>
      </w:divBdr>
    </w:div>
    <w:div w:id="362898566">
      <w:bodyDiv w:val="1"/>
      <w:marLeft w:val="0"/>
      <w:marRight w:val="0"/>
      <w:marTop w:val="0"/>
      <w:marBottom w:val="0"/>
      <w:divBdr>
        <w:top w:val="none" w:sz="0" w:space="0" w:color="auto"/>
        <w:left w:val="none" w:sz="0" w:space="0" w:color="auto"/>
        <w:bottom w:val="none" w:sz="0" w:space="0" w:color="auto"/>
        <w:right w:val="none" w:sz="0" w:space="0" w:color="auto"/>
      </w:divBdr>
    </w:div>
    <w:div w:id="703751754">
      <w:bodyDiv w:val="1"/>
      <w:marLeft w:val="0"/>
      <w:marRight w:val="0"/>
      <w:marTop w:val="0"/>
      <w:marBottom w:val="0"/>
      <w:divBdr>
        <w:top w:val="none" w:sz="0" w:space="0" w:color="auto"/>
        <w:left w:val="none" w:sz="0" w:space="0" w:color="auto"/>
        <w:bottom w:val="none" w:sz="0" w:space="0" w:color="auto"/>
        <w:right w:val="none" w:sz="0" w:space="0" w:color="auto"/>
      </w:divBdr>
    </w:div>
    <w:div w:id="1489983576">
      <w:bodyDiv w:val="1"/>
      <w:marLeft w:val="0"/>
      <w:marRight w:val="0"/>
      <w:marTop w:val="0"/>
      <w:marBottom w:val="0"/>
      <w:divBdr>
        <w:top w:val="none" w:sz="0" w:space="0" w:color="auto"/>
        <w:left w:val="none" w:sz="0" w:space="0" w:color="auto"/>
        <w:bottom w:val="none" w:sz="0" w:space="0" w:color="auto"/>
        <w:right w:val="none" w:sz="0" w:space="0" w:color="auto"/>
      </w:divBdr>
    </w:div>
    <w:div w:id="1631596737">
      <w:bodyDiv w:val="1"/>
      <w:marLeft w:val="0"/>
      <w:marRight w:val="0"/>
      <w:marTop w:val="0"/>
      <w:marBottom w:val="0"/>
      <w:divBdr>
        <w:top w:val="none" w:sz="0" w:space="0" w:color="auto"/>
        <w:left w:val="none" w:sz="0" w:space="0" w:color="auto"/>
        <w:bottom w:val="none" w:sz="0" w:space="0" w:color="auto"/>
        <w:right w:val="none" w:sz="0" w:space="0" w:color="auto"/>
      </w:divBdr>
    </w:div>
    <w:div w:id="1826161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glossaryDocument" Target="glossary/document.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9F4B6E0C06F4B43949A46A41136F9CE"/>
        <w:category>
          <w:name w:val="General"/>
          <w:gallery w:val="placeholder"/>
        </w:category>
        <w:types>
          <w:type w:val="bbPlcHdr"/>
        </w:types>
        <w:behaviors>
          <w:behavior w:val="content"/>
        </w:behaviors>
        <w:guid w:val="{9AE1A6E7-EBCA-4E7F-B8CC-FCC9F3BF9364}"/>
      </w:docPartPr>
      <w:docPartBody>
        <w:p w14:paraId="2172E7A6" w14:textId="6B2C3E8A" w:rsidR="00000000" w:rsidRDefault="00864E66" w:rsidP="00864E66">
          <w:pPr>
            <w:pStyle w:val="09F4B6E0C06F4B43949A46A41136F9CE"/>
          </w:pPr>
          <w:r w:rsidRPr="00216DA6">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4E66"/>
    <w:rsid w:val="00864E6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64E66"/>
    <w:rPr>
      <w:color w:val="808080"/>
    </w:rPr>
  </w:style>
  <w:style w:type="paragraph" w:customStyle="1" w:styleId="12BD33F06035499381F807797813A742">
    <w:name w:val="12BD33F06035499381F807797813A742"/>
    <w:rsid w:val="00864E66"/>
  </w:style>
  <w:style w:type="paragraph" w:customStyle="1" w:styleId="09F4B6E0C06F4B43949A46A41136F9CE">
    <w:name w:val="09F4B6E0C06F4B43949A46A41136F9CE"/>
    <w:rsid w:val="00864E6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64E66"/>
    <w:rPr>
      <w:color w:val="808080"/>
    </w:rPr>
  </w:style>
  <w:style w:type="paragraph" w:customStyle="1" w:styleId="12BD33F06035499381F807797813A742">
    <w:name w:val="12BD33F06035499381F807797813A742"/>
    <w:rsid w:val="00864E66"/>
  </w:style>
  <w:style w:type="paragraph" w:customStyle="1" w:styleId="09F4B6E0C06F4B43949A46A41136F9CE">
    <w:name w:val="09F4B6E0C06F4B43949A46A41136F9CE"/>
    <w:rsid w:val="00864E6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F8F19B-CFBD-4176-9A91-EB1EEC518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489</TotalTime>
  <Pages>14</Pages>
  <Words>4214</Words>
  <Characters>21086</Characters>
  <Application>Microsoft Office Word</Application>
  <DocSecurity>0</DocSecurity>
  <Lines>590</Lines>
  <Paragraphs>344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25137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MICHIELS Isabelle (ENER)</dc:creator>
  <cp:lastModifiedBy>DQC</cp:lastModifiedBy>
  <cp:revision>20</cp:revision>
  <cp:lastPrinted>2019-06-04T11:08:00Z</cp:lastPrinted>
  <dcterms:created xsi:type="dcterms:W3CDTF">2019-04-17T13:18:00Z</dcterms:created>
  <dcterms:modified xsi:type="dcterms:W3CDTF">2019-06-04T11:08:00Z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5.84.2.0</vt:lpwstr>
  </property>
  <property fmtid="{D5CDD505-2E9C-101B-9397-08002B2CF9AE}" pid="4" name="Last edited using">
    <vt:lpwstr>LW 6.0.1, Build 20180503</vt:lpwstr>
  </property>
  <property fmtid="{D5CDD505-2E9C-101B-9397-08002B2CF9AE}" pid="5" name="Created using">
    <vt:lpwstr>LW 5.8.4, Build 20150407</vt:lpwstr>
  </property>
  <property fmtid="{D5CDD505-2E9C-101B-9397-08002B2CF9AE}" pid="6" name="Part">
    <vt:lpwstr>1</vt:lpwstr>
  </property>
  <property fmtid="{D5CDD505-2E9C-101B-9397-08002B2CF9AE}" pid="7" name="Total parts">
    <vt:lpwstr>1</vt:lpwstr>
  </property>
  <property fmtid="{D5CDD505-2E9C-101B-9397-08002B2CF9AE}" pid="8" name="LWTemplateID">
    <vt:lpwstr>SJ-001</vt:lpwstr>
  </property>
  <property fmtid="{D5CDD505-2E9C-101B-9397-08002B2CF9AE}" pid="9" name="Level of sensitivity">
    <vt:lpwstr>Standard treatment</vt:lpwstr>
  </property>
  <property fmtid="{D5CDD505-2E9C-101B-9397-08002B2CF9AE}" pid="10" name="DQCStatus">
    <vt:lpwstr>Red (DQC version 03)</vt:lpwstr>
  </property>
</Properties>
</file>