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1E51D" w14:textId="330BD30D" w:rsidR="00632334" w:rsidRDefault="0097086A" w:rsidP="005A68BA">
      <w:pPr>
        <w:pStyle w:val="TOCHeading"/>
        <w:numPr>
          <w:ilvl w:val="0"/>
          <w:numId w:val="0"/>
        </w:numPr>
        <w:ind w:left="432"/>
      </w:pPr>
      <w:bookmarkStart w:id="0" w:name="_Toc513376746"/>
      <w:bookmarkStart w:id="1" w:name="_Toc515823774"/>
      <w:bookmarkStart w:id="2" w:name="_Toc515823890"/>
      <w:bookmarkStart w:id="3" w:name="_Toc515824071"/>
      <w:bookmarkStart w:id="4" w:name="_Toc515984172"/>
      <w:bookmarkStart w:id="5" w:name="_Toc515985060"/>
      <w:bookmarkStart w:id="6" w:name="_Toc515985145"/>
      <w:bookmarkStart w:id="7" w:name="_Toc516081692"/>
      <w:bookmarkStart w:id="8" w:name="_Toc517687418"/>
      <w:bookmarkStart w:id="9" w:name="_Toc530481390"/>
      <w:bookmarkStart w:id="10" w:name="_Toc530483394"/>
      <w:bookmarkStart w:id="11" w:name="_Toc530488642"/>
      <w:bookmarkStart w:id="12" w:name="_Toc530490112"/>
      <w:bookmarkStart w:id="13" w:name="_Toc530494641"/>
      <w:bookmarkStart w:id="14" w:name="_Toc530495402"/>
      <w:bookmarkStart w:id="15" w:name="_Toc530495503"/>
      <w:bookmarkStart w:id="16" w:name="_Toc530496543"/>
      <w:bookmarkStart w:id="17" w:name="_Toc530498371"/>
      <w:bookmarkStart w:id="18" w:name="_Toc530499813"/>
      <w:bookmarkStart w:id="19" w:name="_Toc530500420"/>
      <w:bookmarkStart w:id="20" w:name="_Toc533259723"/>
      <w:bookmarkStart w:id="21" w:name="_Toc533260217"/>
      <w:bookmarkStart w:id="22" w:name="_Toc533261795"/>
      <w:bookmarkStart w:id="23" w:name="_Toc498088036"/>
      <w:bookmarkStart w:id="24" w:name="_Toc498088114"/>
      <w:bookmarkStart w:id="25" w:name="_Toc498090434"/>
      <w:bookmarkStart w:id="26" w:name="_Toc498090565"/>
      <w:bookmarkStart w:id="27" w:name="_Toc498091357"/>
      <w:bookmarkStart w:id="28" w:name="_Toc498091845"/>
      <w:bookmarkStart w:id="29" w:name="_Toc501576491"/>
      <w:bookmarkStart w:id="30" w:name="_Toc501576540"/>
      <w:bookmarkStart w:id="31" w:name="_GoBack"/>
      <w:bookmarkEnd w:id="31"/>
      <w:r>
        <w:rPr>
          <w:noProof/>
          <w:lang w:val="en-GB" w:eastAsia="en-GB"/>
        </w:rPr>
        <mc:AlternateContent>
          <mc:Choice Requires="wpg">
            <w:drawing>
              <wp:anchor distT="0" distB="0" distL="114300" distR="114300" simplePos="0" relativeHeight="251660288" behindDoc="0" locked="0" layoutInCell="0" allowOverlap="1" wp14:anchorId="0FA94A82" wp14:editId="0F405BBB">
                <wp:simplePos x="0" y="0"/>
                <wp:positionH relativeFrom="page">
                  <wp:posOffset>248920</wp:posOffset>
                </wp:positionH>
                <wp:positionV relativeFrom="page">
                  <wp:posOffset>1466850</wp:posOffset>
                </wp:positionV>
                <wp:extent cx="7219950" cy="10182225"/>
                <wp:effectExtent l="10795" t="9525" r="8255" b="9525"/>
                <wp:wrapNone/>
                <wp:docPr id="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9950" cy="10182225"/>
                          <a:chOff x="321" y="411"/>
                          <a:chExt cx="11600" cy="15018"/>
                        </a:xfrm>
                      </wpg:grpSpPr>
                      <wps:wsp>
                        <wps:cNvPr id="9" name="Rectangle 77"/>
                        <wps:cNvSpPr>
                          <a:spLocks noChangeArrowheads="1"/>
                        </wps:cNvSpPr>
                        <wps:spPr bwMode="auto">
                          <a:xfrm>
                            <a:off x="321" y="411"/>
                            <a:ext cx="11600" cy="150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87"/>
                        <wps:cNvSpPr>
                          <a:spLocks noChangeArrowheads="1"/>
                        </wps:cNvSpPr>
                        <wps:spPr bwMode="auto">
                          <a:xfrm>
                            <a:off x="350" y="14683"/>
                            <a:ext cx="11537" cy="719"/>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C206F" w14:textId="77777777" w:rsidR="00F1180F" w:rsidRDefault="00F1180F">
                              <w:pPr>
                                <w:pStyle w:val="NoSpacing"/>
                                <w:jc w:val="center"/>
                                <w:rPr>
                                  <w:smallCaps/>
                                  <w:color w:val="FFFFFF"/>
                                  <w:spacing w:val="60"/>
                                  <w:sz w:val="28"/>
                                </w:rPr>
                              </w:pPr>
                              <w:r>
                                <w:rPr>
                                  <w:spacing w:val="60"/>
                                  <w:sz w:val="28"/>
                                </w:rPr>
                                <w:t xml:space="preserve">     </w:t>
                              </w:r>
                            </w:p>
                          </w:txbxContent>
                        </wps:txbx>
                        <wps:bodyPr rot="0" vert="horz" wrap="square" lIns="91440" tIns="45720" rIns="91440" bIns="45720" anchor="ctr" anchorCtr="0" upright="1">
                          <a:noAutofit/>
                        </wps:bodyPr>
                      </wps:wsp>
                      <wps:wsp>
                        <wps:cNvPr id="11" name="Rectangle 86"/>
                        <wps:cNvSpPr>
                          <a:spLocks noChangeArrowheads="1"/>
                        </wps:cNvSpPr>
                        <wps:spPr bwMode="auto">
                          <a:xfrm>
                            <a:off x="9028" y="10710"/>
                            <a:ext cx="2859" cy="3937"/>
                          </a:xfrm>
                          <a:prstGeom prst="rect">
                            <a:avLst/>
                          </a:prstGeom>
                          <a:gradFill rotWithShape="1">
                            <a:gsLst>
                              <a:gs pos="0">
                                <a:srgbClr val="2787A0"/>
                              </a:gs>
                              <a:gs pos="80000">
                                <a:srgbClr val="36B1D2"/>
                              </a:gs>
                              <a:gs pos="100000">
                                <a:srgbClr val="34B3D6"/>
                              </a:gs>
                            </a:gsLst>
                            <a:lin ang="16200000" scaled="1"/>
                          </a:gradFill>
                          <a:ln w="9525">
                            <a:solidFill>
                              <a:srgbClr val="46AAC5"/>
                            </a:solidFill>
                            <a:miter lim="800000"/>
                            <a:headEnd/>
                            <a:tailEnd/>
                          </a:ln>
                        </wps:spPr>
                        <wps:bodyPr rot="0" vert="horz" wrap="square" lIns="91440" tIns="45720" rIns="91440" bIns="45720" anchor="t" anchorCtr="0" upright="1">
                          <a:noAutofit/>
                        </wps:bodyPr>
                      </wps:wsp>
                      <wps:wsp>
                        <wps:cNvPr id="13" name="Rectangle 85"/>
                        <wps:cNvSpPr>
                          <a:spLocks noChangeArrowheads="1"/>
                        </wps:cNvSpPr>
                        <wps:spPr bwMode="auto">
                          <a:xfrm>
                            <a:off x="350" y="10711"/>
                            <a:ext cx="8631" cy="3942"/>
                          </a:xfrm>
                          <a:prstGeom prst="rect">
                            <a:avLst/>
                          </a:prstGeom>
                          <a:gradFill rotWithShape="1">
                            <a:gsLst>
                              <a:gs pos="0">
                                <a:srgbClr val="9B2D2A"/>
                              </a:gs>
                              <a:gs pos="39999">
                                <a:srgbClr val="CB3D3A"/>
                              </a:gs>
                              <a:gs pos="50000">
                                <a:srgbClr val="CE3B37"/>
                              </a:gs>
                              <a:gs pos="60001">
                                <a:srgbClr val="CB3D3A"/>
                              </a:gs>
                              <a:gs pos="100000">
                                <a:srgbClr val="9B2D2A"/>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wps:wsp>
                        <wps:cNvPr id="14" name="Rectangle 82"/>
                        <wps:cNvSpPr>
                          <a:spLocks noChangeArrowheads="1"/>
                        </wps:cNvSpPr>
                        <wps:spPr bwMode="auto">
                          <a:xfrm>
                            <a:off x="9028" y="9607"/>
                            <a:ext cx="2860" cy="1073"/>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16B3E" w14:textId="77777777" w:rsidR="00F1180F" w:rsidRDefault="00F1180F">
                              <w:pPr>
                                <w:pStyle w:val="NoSpacing"/>
                                <w:rPr>
                                  <w:rFonts w:ascii="Arial" w:eastAsia="Times New Roman" w:hAnsi="Arial"/>
                                  <w:color w:val="FFFFFF"/>
                                  <w:sz w:val="40"/>
                                  <w:lang w:val="fr-BE"/>
                                </w:rPr>
                              </w:pPr>
                            </w:p>
                            <w:p w14:paraId="4B3BF9B2" w14:textId="7D852442" w:rsidR="00F1180F" w:rsidRDefault="00F1180F">
                              <w:pPr>
                                <w:pStyle w:val="NoSpacing"/>
                                <w:rPr>
                                  <w:rFonts w:ascii="Arial" w:eastAsia="Times New Roman" w:hAnsi="Arial"/>
                                  <w:color w:val="FFFFFF"/>
                                  <w:sz w:val="32"/>
                                  <w:lang w:val="fr-BE"/>
                                </w:rPr>
                              </w:pPr>
                              <w:proofErr w:type="spellStart"/>
                              <w:r>
                                <w:rPr>
                                  <w:rFonts w:ascii="Arial" w:eastAsia="Times New Roman" w:hAnsi="Arial"/>
                                  <w:color w:val="FFFFFF"/>
                                  <w:sz w:val="32"/>
                                  <w:lang w:val="fr-BE"/>
                                </w:rPr>
                                <w:t>December</w:t>
                              </w:r>
                              <w:proofErr w:type="spellEnd"/>
                              <w:r>
                                <w:rPr>
                                  <w:rFonts w:ascii="Arial" w:eastAsia="Times New Roman" w:hAnsi="Arial"/>
                                  <w:color w:val="FFFFFF"/>
                                  <w:sz w:val="32"/>
                                  <w:lang w:val="fr-BE"/>
                                </w:rPr>
                                <w:t xml:space="preserve"> 2018</w:t>
                              </w:r>
                            </w:p>
                          </w:txbxContent>
                        </wps:txbx>
                        <wps:bodyPr rot="0" vert="horz" wrap="square" lIns="91440" tIns="45720" rIns="91440" bIns="45720" anchor="ctr" anchorCtr="0" upright="1">
                          <a:noAutofit/>
                        </wps:bodyPr>
                      </wps:wsp>
                      <wps:wsp>
                        <wps:cNvPr id="26" name="Rectangle 81"/>
                        <wps:cNvSpPr>
                          <a:spLocks noChangeArrowheads="1"/>
                        </wps:cNvSpPr>
                        <wps:spPr bwMode="auto">
                          <a:xfrm>
                            <a:off x="6137" y="9607"/>
                            <a:ext cx="2860" cy="1073"/>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80"/>
                        <wps:cNvSpPr>
                          <a:spLocks noChangeArrowheads="1"/>
                        </wps:cNvSpPr>
                        <wps:spPr bwMode="auto">
                          <a:xfrm>
                            <a:off x="3245" y="9607"/>
                            <a:ext cx="2860" cy="1073"/>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79"/>
                        <wps:cNvSpPr>
                          <a:spLocks noChangeArrowheads="1"/>
                        </wps:cNvSpPr>
                        <wps:spPr bwMode="auto">
                          <a:xfrm>
                            <a:off x="354" y="9607"/>
                            <a:ext cx="2860" cy="1073"/>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84"/>
                        <wps:cNvSpPr>
                          <a:spLocks noChangeArrowheads="1"/>
                        </wps:cNvSpPr>
                        <wps:spPr bwMode="auto">
                          <a:xfrm>
                            <a:off x="9028" y="2263"/>
                            <a:ext cx="2859" cy="7316"/>
                          </a:xfrm>
                          <a:prstGeom prst="rect">
                            <a:avLst/>
                          </a:prstGeom>
                          <a:gradFill rotWithShape="1">
                            <a:gsLst>
                              <a:gs pos="0">
                                <a:srgbClr val="CB6C1D"/>
                              </a:gs>
                              <a:gs pos="80000">
                                <a:srgbClr val="FF8F2A"/>
                              </a:gs>
                              <a:gs pos="100000">
                                <a:srgbClr val="FF8F26"/>
                              </a:gs>
                            </a:gsLst>
                            <a:lin ang="16200000" scaled="1"/>
                          </a:gradFill>
                          <a:ln w="9525">
                            <a:solidFill>
                              <a:srgbClr val="F69240"/>
                            </a:solidFill>
                            <a:miter lim="800000"/>
                            <a:headEnd/>
                            <a:tailEnd/>
                          </a:ln>
                        </wps:spPr>
                        <wps:bodyPr rot="0" vert="horz" wrap="square" lIns="91440" tIns="45720" rIns="91440" bIns="45720" anchor="t" anchorCtr="0" upright="1">
                          <a:noAutofit/>
                        </wps:bodyPr>
                      </wps:wsp>
                      <wps:wsp>
                        <wps:cNvPr id="30" name="Rectangle 83"/>
                        <wps:cNvSpPr>
                          <a:spLocks noChangeArrowheads="1"/>
                        </wps:cNvSpPr>
                        <wps:spPr bwMode="auto">
                          <a:xfrm>
                            <a:off x="354" y="2263"/>
                            <a:ext cx="8643" cy="7316"/>
                          </a:xfrm>
                          <a:prstGeom prst="rect">
                            <a:avLst/>
                          </a:prstGeom>
                          <a:gradFill rotWithShape="1">
                            <a:gsLst>
                              <a:gs pos="0">
                                <a:srgbClr val="769535"/>
                              </a:gs>
                              <a:gs pos="80000">
                                <a:srgbClr val="9BC348"/>
                              </a:gs>
                              <a:gs pos="100000">
                                <a:srgbClr val="9CC746"/>
                              </a:gs>
                            </a:gsLst>
                            <a:lin ang="16200000" scaled="1"/>
                          </a:gradFill>
                          <a:ln w="9525">
                            <a:solidFill>
                              <a:srgbClr val="98B954"/>
                            </a:solidFill>
                            <a:miter lim="800000"/>
                            <a:headEnd/>
                            <a:tailEnd/>
                          </a:ln>
                        </wps:spPr>
                        <wps:txbx>
                          <w:txbxContent>
                            <w:p w14:paraId="6E36859F" w14:textId="70D666C2" w:rsidR="00F1180F" w:rsidRPr="004B43AB" w:rsidRDefault="00F1180F" w:rsidP="00384D20">
                              <w:pPr>
                                <w:pStyle w:val="Heading1"/>
                                <w:numPr>
                                  <w:ilvl w:val="0"/>
                                  <w:numId w:val="0"/>
                                </w:numPr>
                                <w:spacing w:before="240"/>
                                <w:jc w:val="right"/>
                                <w:rPr>
                                  <w:color w:val="FFFFFF" w:themeColor="background1"/>
                                  <w:sz w:val="56"/>
                                  <w:szCs w:val="56"/>
                                  <w:lang w:val="en-US"/>
                                </w:rPr>
                              </w:pPr>
                              <w:bookmarkStart w:id="32" w:name="_Toc533259726"/>
                              <w:bookmarkStart w:id="33" w:name="_Toc533260220"/>
                              <w:bookmarkStart w:id="34" w:name="_Toc533261798"/>
                              <w:r w:rsidRPr="004B43AB">
                                <w:rPr>
                                  <w:color w:val="FFFFFF" w:themeColor="background1"/>
                                  <w:sz w:val="56"/>
                                  <w:szCs w:val="56"/>
                                  <w:lang w:val="en-US"/>
                                </w:rPr>
                                <w:t>Final Report</w:t>
                              </w:r>
                              <w:bookmarkEnd w:id="32"/>
                              <w:bookmarkEnd w:id="33"/>
                              <w:bookmarkEnd w:id="34"/>
                            </w:p>
                            <w:p w14:paraId="2F8D8D6E" w14:textId="77777777" w:rsidR="00F1180F" w:rsidRPr="004B43AB" w:rsidRDefault="00F1180F" w:rsidP="00384D20">
                              <w:pPr>
                                <w:rPr>
                                  <w:lang w:val="en-US"/>
                                </w:rPr>
                              </w:pPr>
                            </w:p>
                            <w:p w14:paraId="0EABFA36" w14:textId="73A43C47" w:rsidR="00F1180F" w:rsidRPr="00031492" w:rsidRDefault="00F1180F" w:rsidP="00384D20">
                              <w:pPr>
                                <w:pStyle w:val="Heading1"/>
                                <w:numPr>
                                  <w:ilvl w:val="0"/>
                                  <w:numId w:val="0"/>
                                </w:numPr>
                                <w:spacing w:before="0"/>
                                <w:jc w:val="right"/>
                                <w:rPr>
                                  <w:sz w:val="68"/>
                                  <w:szCs w:val="68"/>
                                  <w:lang w:val="en-US"/>
                                </w:rPr>
                              </w:pPr>
                              <w:bookmarkStart w:id="35" w:name="_Toc530481389"/>
                              <w:bookmarkStart w:id="36" w:name="_Toc530483391"/>
                              <w:bookmarkStart w:id="37" w:name="_Toc530488639"/>
                              <w:bookmarkStart w:id="38" w:name="_Toc530490109"/>
                              <w:bookmarkStart w:id="39" w:name="_Toc530494638"/>
                              <w:bookmarkStart w:id="40" w:name="_Toc530495403"/>
                              <w:bookmarkStart w:id="41" w:name="_Toc530495504"/>
                              <w:bookmarkStart w:id="42" w:name="_Toc530496540"/>
                              <w:bookmarkStart w:id="43" w:name="_Toc530498369"/>
                              <w:bookmarkStart w:id="44" w:name="_Toc530499814"/>
                              <w:bookmarkStart w:id="45" w:name="_Toc530500421"/>
                              <w:bookmarkStart w:id="46" w:name="_Toc533259727"/>
                              <w:bookmarkStart w:id="47" w:name="_Toc533260221"/>
                              <w:bookmarkStart w:id="48" w:name="_Toc533261799"/>
                              <w:r w:rsidRPr="00031492">
                                <w:rPr>
                                  <w:sz w:val="68"/>
                                  <w:szCs w:val="68"/>
                                  <w:lang w:val="en-US"/>
                                </w:rPr>
                                <w:t>Towards</w:t>
                              </w:r>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031492">
                                <w:rPr>
                                  <w:sz w:val="68"/>
                                  <w:szCs w:val="68"/>
                                  <w:lang w:val="en-US"/>
                                </w:rPr>
                                <w:t xml:space="preserve"> </w:t>
                              </w:r>
                            </w:p>
                            <w:p w14:paraId="0DF424FD" w14:textId="1E092F0F" w:rsidR="00F1180F" w:rsidRPr="00031492" w:rsidRDefault="00F1180F" w:rsidP="00384D20">
                              <w:pPr>
                                <w:pStyle w:val="Heading1"/>
                                <w:numPr>
                                  <w:ilvl w:val="0"/>
                                  <w:numId w:val="0"/>
                                </w:numPr>
                                <w:spacing w:before="0"/>
                                <w:jc w:val="right"/>
                                <w:rPr>
                                  <w:sz w:val="68"/>
                                  <w:szCs w:val="68"/>
                                  <w:lang w:val="en-US"/>
                                </w:rPr>
                              </w:pPr>
                              <w:bookmarkStart w:id="49" w:name="_Toc530481391"/>
                              <w:bookmarkStart w:id="50" w:name="_Toc530483392"/>
                              <w:bookmarkStart w:id="51" w:name="_Toc530488640"/>
                              <w:bookmarkStart w:id="52" w:name="_Toc530490110"/>
                              <w:bookmarkStart w:id="53" w:name="_Toc530494639"/>
                              <w:bookmarkStart w:id="54" w:name="_Toc530495404"/>
                              <w:bookmarkStart w:id="55" w:name="_Toc530495505"/>
                              <w:bookmarkStart w:id="56" w:name="_Toc530496541"/>
                              <w:bookmarkStart w:id="57" w:name="_Toc530498370"/>
                              <w:bookmarkStart w:id="58" w:name="_Toc530499815"/>
                              <w:bookmarkStart w:id="59" w:name="_Toc530500422"/>
                              <w:bookmarkStart w:id="60" w:name="_Toc533259725"/>
                              <w:bookmarkStart w:id="61" w:name="_Toc533260219"/>
                              <w:bookmarkStart w:id="62" w:name="_Toc533261797"/>
                              <w:r w:rsidRPr="00031492">
                                <w:rPr>
                                  <w:sz w:val="68"/>
                                  <w:szCs w:val="68"/>
                                  <w:lang w:val="en-US"/>
                                </w:rPr>
                                <w:t xml:space="preserve">Interoperability for Electricity </w:t>
                              </w:r>
                              <w:r>
                                <w:rPr>
                                  <w:sz w:val="68"/>
                                  <w:szCs w:val="68"/>
                                  <w:lang w:val="en-US"/>
                                </w:rPr>
                                <w:t>and</w:t>
                              </w:r>
                              <w:r w:rsidRPr="00031492">
                                <w:rPr>
                                  <w:sz w:val="68"/>
                                  <w:szCs w:val="68"/>
                                  <w:lang w:val="en-US"/>
                                </w:rPr>
                                <w:t xml:space="preserve"> Gas</w:t>
                              </w:r>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031492">
                                <w:rPr>
                                  <w:sz w:val="68"/>
                                  <w:szCs w:val="68"/>
                                  <w:lang w:val="en-US"/>
                                </w:rPr>
                                <w:t xml:space="preserve"> </w:t>
                              </w:r>
                            </w:p>
                            <w:p w14:paraId="221B4FAA" w14:textId="5A575D02" w:rsidR="00F1180F" w:rsidRPr="00031492" w:rsidRDefault="00F1180F" w:rsidP="00384D20">
                              <w:pPr>
                                <w:pStyle w:val="Heading1"/>
                                <w:numPr>
                                  <w:ilvl w:val="0"/>
                                  <w:numId w:val="0"/>
                                </w:numPr>
                                <w:spacing w:before="0"/>
                                <w:jc w:val="right"/>
                                <w:rPr>
                                  <w:sz w:val="68"/>
                                  <w:szCs w:val="68"/>
                                  <w:lang w:val="en-US"/>
                                </w:rPr>
                              </w:pPr>
                              <w:bookmarkStart w:id="63" w:name="_Toc530481392"/>
                              <w:bookmarkStart w:id="64" w:name="_Toc530483393"/>
                              <w:bookmarkStart w:id="65" w:name="_Toc530488641"/>
                              <w:bookmarkStart w:id="66" w:name="_Toc530490111"/>
                              <w:bookmarkStart w:id="67" w:name="_Toc530494640"/>
                              <w:bookmarkStart w:id="68" w:name="_Toc530495405"/>
                              <w:bookmarkStart w:id="69" w:name="_Toc530495506"/>
                              <w:bookmarkStart w:id="70" w:name="_Toc530496542"/>
                              <w:bookmarkStart w:id="71" w:name="_Toc530498372"/>
                              <w:bookmarkStart w:id="72" w:name="_Toc530499816"/>
                              <w:bookmarkStart w:id="73" w:name="_Toc530500423"/>
                              <w:bookmarkStart w:id="74" w:name="_Toc533259724"/>
                              <w:bookmarkStart w:id="75" w:name="_Toc533260218"/>
                              <w:bookmarkStart w:id="76" w:name="_Toc533261796"/>
                              <w:r w:rsidRPr="00031492">
                                <w:rPr>
                                  <w:sz w:val="68"/>
                                  <w:szCs w:val="68"/>
                                  <w:lang w:val="en-US"/>
                                </w:rPr>
                                <w:t xml:space="preserve">Data Access &amp; Exchange </w:t>
                              </w:r>
                              <w:r>
                                <w:rPr>
                                  <w:sz w:val="68"/>
                                  <w:szCs w:val="68"/>
                                  <w:lang w:val="en-US"/>
                                </w:rPr>
                                <w:t>within the EU</w:t>
                              </w:r>
                              <w:bookmarkEnd w:id="63"/>
                              <w:bookmarkEnd w:id="64"/>
                              <w:bookmarkEnd w:id="65"/>
                              <w:bookmarkEnd w:id="66"/>
                              <w:bookmarkEnd w:id="67"/>
                              <w:bookmarkEnd w:id="68"/>
                              <w:bookmarkEnd w:id="69"/>
                              <w:bookmarkEnd w:id="70"/>
                              <w:bookmarkEnd w:id="71"/>
                              <w:bookmarkEnd w:id="72"/>
                              <w:bookmarkEnd w:id="73"/>
                              <w:bookmarkEnd w:id="74"/>
                              <w:bookmarkEnd w:id="75"/>
                              <w:bookmarkEnd w:id="76"/>
                              <w:r>
                                <w:rPr>
                                  <w:sz w:val="68"/>
                                  <w:szCs w:val="68"/>
                                  <w:lang w:val="en-US"/>
                                </w:rPr>
                                <w:t xml:space="preserve"> </w:t>
                              </w:r>
                            </w:p>
                            <w:p w14:paraId="292C8A43" w14:textId="77777777" w:rsidR="00F1180F" w:rsidRDefault="00F1180F">
                              <w:pPr>
                                <w:rPr>
                                  <w:lang w:val="en-US"/>
                                </w:rPr>
                              </w:pPr>
                            </w:p>
                            <w:p w14:paraId="2CC0F219" w14:textId="77777777" w:rsidR="00F1180F" w:rsidRDefault="00F1180F">
                              <w:pPr>
                                <w:jc w:val="right"/>
                                <w:rPr>
                                  <w:color w:val="FFFFFF"/>
                                  <w:sz w:val="40"/>
                                  <w:lang w:val="en-GB"/>
                                </w:rPr>
                              </w:pPr>
                              <w:r>
                                <w:rPr>
                                  <w:sz w:val="40"/>
                                  <w:lang w:val="en-GB"/>
                                </w:rPr>
                                <w:t xml:space="preserve">     </w:t>
                              </w:r>
                            </w:p>
                            <w:p w14:paraId="0114870C" w14:textId="77777777" w:rsidR="00F1180F" w:rsidRDefault="00F1180F">
                              <w:pPr>
                                <w:jc w:val="right"/>
                                <w:rPr>
                                  <w:color w:val="FFFFFF"/>
                                  <w:sz w:val="28"/>
                                  <w:lang w:val="en-GB"/>
                                </w:rPr>
                              </w:pPr>
                            </w:p>
                          </w:txbxContent>
                        </wps:txbx>
                        <wps:bodyPr rot="0" vert="horz" wrap="square" lIns="228600" tIns="45720" rIns="228600" bIns="45720" anchor="ctr" anchorCtr="0" upright="1">
                          <a:noAutofit/>
                        </wps:bodyPr>
                      </wps:wsp>
                      <wps:wsp>
                        <wps:cNvPr id="31" name="Rectangle 78"/>
                        <wps:cNvSpPr>
                          <a:spLocks noChangeArrowheads="1"/>
                        </wps:cNvSpPr>
                        <wps:spPr bwMode="auto">
                          <a:xfrm>
                            <a:off x="350" y="440"/>
                            <a:ext cx="11537" cy="1784"/>
                          </a:xfrm>
                          <a:prstGeom prst="rect">
                            <a:avLst/>
                          </a:prstGeom>
                          <a:solidFill>
                            <a:srgbClr val="9537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C5428" w14:textId="77777777" w:rsidR="00F1180F" w:rsidRDefault="00F1180F">
                              <w:pPr>
                                <w:pStyle w:val="NoSpacing"/>
                                <w:rPr>
                                  <w:color w:val="FFFFFF"/>
                                  <w:sz w:val="44"/>
                                  <w:lang w:val="en-GB"/>
                                </w:rPr>
                              </w:pPr>
                              <w:r>
                                <w:rPr>
                                  <w:color w:val="FFFFFF"/>
                                  <w:sz w:val="44"/>
                                  <w:lang w:val="en-GB"/>
                                </w:rPr>
                                <w:t>European Smart Grids Task Force</w:t>
                              </w:r>
                            </w:p>
                            <w:p w14:paraId="0FC570DE" w14:textId="77777777" w:rsidR="00F1180F" w:rsidRDefault="00F1180F">
                              <w:pPr>
                                <w:pStyle w:val="NoSpacing"/>
                                <w:rPr>
                                  <w:color w:val="FFFFFF"/>
                                  <w:sz w:val="44"/>
                                  <w:lang w:val="en-GB"/>
                                </w:rPr>
                              </w:pPr>
                              <w:r>
                                <w:rPr>
                                  <w:color w:val="FFFFFF"/>
                                  <w:sz w:val="44"/>
                                  <w:lang w:val="en-GB"/>
                                </w:rPr>
                                <w:t>Expert Group 1 – Standards and Interoperability</w:t>
                              </w:r>
                            </w:p>
                            <w:p w14:paraId="2487A6DA" w14:textId="77777777" w:rsidR="00F1180F" w:rsidRDefault="00F1180F">
                              <w:pPr>
                                <w:pStyle w:val="NoSpacing"/>
                                <w:rPr>
                                  <w:b/>
                                  <w:smallCaps/>
                                  <w:color w:val="FFFFFF"/>
                                  <w:sz w:val="44"/>
                                  <w:lang w:val="en-GB"/>
                                </w:rPr>
                              </w:pPr>
                              <w:r>
                                <w:rPr>
                                  <w:b/>
                                  <w:color w:val="FFFFFF"/>
                                  <w:sz w:val="44"/>
                                  <w:lang w:val="en-GB"/>
                                </w:rPr>
                                <w:t xml:space="preserve">Working Group on Data Format &amp; Procedures </w:t>
                              </w:r>
                            </w:p>
                          </w:txbxContent>
                        </wps:txbx>
                        <wps:bodyPr rot="0" vert="horz" wrap="square" lIns="228600" tIns="45720" rIns="22860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94A82" id="Group 76" o:spid="_x0000_s1026" style="position:absolute;left:0;text-align:left;margin-left:19.6pt;margin-top:115.5pt;width:568.5pt;height:801.75pt;z-index:251660288;mso-position-horizontal-relative:page;mso-position-vertical-relative:page"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" o:allowincell="f">
                <v:rect id="Rectangle 77" o:spid="_x0000_s1027" style="position:absolute;left:321;top:411;width:11600;height:1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rect id="Rectangle 87" o:spid="_x0000_s1028" style="position:absolute;left:350;top:14683;width:11537;height: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" fillcolor="#953735" stroked="f">
                  <v:textbox>
                    <w:txbxContent>
                      <w:p w14:paraId="6C9C206F" w14:textId="77777777" w:rsidR="00F1180F" w:rsidRDefault="00F1180F">
                        <w:pPr>
                          <w:pStyle w:val="NoSpacing"/>
                          <w:jc w:val="center"/>
                          <w:rPr>
                            <w:smallCaps/>
                            <w:color w:val="FFFFFF"/>
                            <w:spacing w:val="60"/>
                            <w:sz w:val="28"/>
                          </w:rPr>
                        </w:pPr>
                        <w:r>
                          <w:rPr>
                            <w:spacing w:val="60"/>
                            <w:sz w:val="28"/>
                          </w:rPr>
                          <w:t xml:space="preserve">     </w:t>
                        </w:r>
                      </w:p>
                    </w:txbxContent>
                  </v:textbox>
                </v:rect>
                <v:rect id="Rectangle 86" o:spid="_x0000_s1029" style="position:absolute;left:9028;top:10710;width:28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" fillcolor="#2787a0" strokecolor="#46aac5">
                  <v:fill color2="#34b3d6" rotate="t" angle="180" colors="0 #2787a0;52429f #36b1d2;1 #34b3d6" focus="100%" type="gradient"/>
                </v:rect>
                <v:rect id="Rectangle 85" o:spid="_x0000_s1030" style="position:absolute;left:350;top:10711;width:8631;height:3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" fillcolor="#9b2d2a" strokecolor="#f79646" strokeweight="1pt">
                  <v:fill color2="#9b2d2a" rotate="t" colors="0 #9b2d2a;26214f #cb3d3a;.5 #ce3b37;39322f #cb3d3a;1 #9b2d2a" focus="100%" type="gradient"/>
                  <v:shadow on="t" color="#974706" offset="1pt"/>
                </v:rect>
                <v:rect id="Rectangle 82" o:spid="_x0000_s1031" style="position:absolute;left:9028;top:9607;width:2860;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" fillcolor="#953735" stroked="f">
                  <v:textbox>
                    <w:txbxContent>
                      <w:p w14:paraId="44C16B3E" w14:textId="77777777" w:rsidR="00F1180F" w:rsidRDefault="00F1180F">
                        <w:pPr>
                          <w:pStyle w:val="NoSpacing"/>
                          <w:rPr>
                            <w:rFonts w:ascii="Arial" w:eastAsia="Times New Roman" w:hAnsi="Arial"/>
                            <w:color w:val="FFFFFF"/>
                            <w:sz w:val="40"/>
                            <w:lang w:val="fr-BE"/>
                          </w:rPr>
                        </w:pPr>
                      </w:p>
                      <w:p w14:paraId="4B3BF9B2" w14:textId="7D852442" w:rsidR="00F1180F" w:rsidRDefault="00F1180F">
                        <w:pPr>
                          <w:pStyle w:val="NoSpacing"/>
                          <w:rPr>
                            <w:rFonts w:ascii="Arial" w:eastAsia="Times New Roman" w:hAnsi="Arial"/>
                            <w:color w:val="FFFFFF"/>
                            <w:sz w:val="32"/>
                            <w:lang w:val="fr-BE"/>
                          </w:rPr>
                        </w:pPr>
                        <w:proofErr w:type="spellStart"/>
                        <w:r>
                          <w:rPr>
                            <w:rFonts w:ascii="Arial" w:eastAsia="Times New Roman" w:hAnsi="Arial"/>
                            <w:color w:val="FFFFFF"/>
                            <w:sz w:val="32"/>
                            <w:lang w:val="fr-BE"/>
                          </w:rPr>
                          <w:t>December</w:t>
                        </w:r>
                        <w:proofErr w:type="spellEnd"/>
                        <w:r>
                          <w:rPr>
                            <w:rFonts w:ascii="Arial" w:eastAsia="Times New Roman" w:hAnsi="Arial"/>
                            <w:color w:val="FFFFFF"/>
                            <w:sz w:val="32"/>
                            <w:lang w:val="fr-BE"/>
                          </w:rPr>
                          <w:t xml:space="preserve"> 2018</w:t>
                        </w:r>
                      </w:p>
                    </w:txbxContent>
                  </v:textbox>
                </v:rect>
                <v:rect id="Rectangle 81" o:spid="_x0000_s1032" style="position:absolute;left:6137;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" fillcolor="#953735" stroked="f"/>
                <v:rect id="Rectangle 80" o:spid="_x0000_s1033" style="position:absolute;left:3245;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" fillcolor="#953735" stroked="f"/>
                <v:rect id="Rectangle 79" o:spid="_x0000_s1034" style="position:absolute;left:354;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" fillcolor="#953735" stroked="f"/>
                <v:rect id="Rectangle 84" o:spid="_x0000_s1035" style="position:absolute;left:9028;top:2263;width:28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" fillcolor="#cb6c1d" strokecolor="#f69240">
                  <v:fill color2="#ff8f26" rotate="t" angle="180" colors="0 #cb6c1d;52429f #ff8f2a;1 #ff8f26" focus="100%" type="gradient"/>
                </v:rect>
                <v:rect id="Rectangle 83" o:spid="_x0000_s1036" style="position:absolute;left:354;top:2263;width:8643;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" fillcolor="#769535" strokecolor="#98b954">
                  <v:fill color2="#9cc746" rotate="t" angle="180" colors="0 #769535;52429f #9bc348;1 #9cc746" focus="100%" type="gradient"/>
                  <v:textbox inset="18pt,,18pt">
                    <w:txbxContent>
                      <w:p w14:paraId="6E36859F" w14:textId="70D666C2" w:rsidR="00F1180F" w:rsidRPr="004B43AB" w:rsidRDefault="00F1180F" w:rsidP="00384D20">
                        <w:pPr>
                          <w:pStyle w:val="Heading1"/>
                          <w:numPr>
                            <w:ilvl w:val="0"/>
                            <w:numId w:val="0"/>
                          </w:numPr>
                          <w:spacing w:before="240"/>
                          <w:jc w:val="right"/>
                          <w:rPr>
                            <w:color w:val="FFFFFF" w:themeColor="background1"/>
                            <w:sz w:val="56"/>
                            <w:szCs w:val="56"/>
                            <w:lang w:val="en-US"/>
                          </w:rPr>
                        </w:pPr>
                        <w:bookmarkStart w:id="77" w:name="_Toc533259726"/>
                        <w:bookmarkStart w:id="78" w:name="_Toc533260220"/>
                        <w:bookmarkStart w:id="79" w:name="_Toc533261798"/>
                        <w:r w:rsidRPr="004B43AB">
                          <w:rPr>
                            <w:color w:val="FFFFFF" w:themeColor="background1"/>
                            <w:sz w:val="56"/>
                            <w:szCs w:val="56"/>
                            <w:lang w:val="en-US"/>
                          </w:rPr>
                          <w:t>Final Report</w:t>
                        </w:r>
                        <w:bookmarkEnd w:id="77"/>
                        <w:bookmarkEnd w:id="78"/>
                        <w:bookmarkEnd w:id="79"/>
                      </w:p>
                      <w:p w14:paraId="2F8D8D6E" w14:textId="77777777" w:rsidR="00F1180F" w:rsidRPr="004B43AB" w:rsidRDefault="00F1180F" w:rsidP="00384D20">
                        <w:pPr>
                          <w:rPr>
                            <w:lang w:val="en-US"/>
                          </w:rPr>
                        </w:pPr>
                      </w:p>
                      <w:p w14:paraId="0EABFA36" w14:textId="73A43C47" w:rsidR="00F1180F" w:rsidRPr="00031492" w:rsidRDefault="00F1180F" w:rsidP="00384D20">
                        <w:pPr>
                          <w:pStyle w:val="Heading1"/>
                          <w:numPr>
                            <w:ilvl w:val="0"/>
                            <w:numId w:val="0"/>
                          </w:numPr>
                          <w:spacing w:before="0"/>
                          <w:jc w:val="right"/>
                          <w:rPr>
                            <w:sz w:val="68"/>
                            <w:szCs w:val="68"/>
                            <w:lang w:val="en-US"/>
                          </w:rPr>
                        </w:pPr>
                        <w:bookmarkStart w:id="80" w:name="_Toc530481389"/>
                        <w:bookmarkStart w:id="81" w:name="_Toc530483391"/>
                        <w:bookmarkStart w:id="82" w:name="_Toc530488639"/>
                        <w:bookmarkStart w:id="83" w:name="_Toc530490109"/>
                        <w:bookmarkStart w:id="84" w:name="_Toc530494638"/>
                        <w:bookmarkStart w:id="85" w:name="_Toc530495403"/>
                        <w:bookmarkStart w:id="86" w:name="_Toc530495504"/>
                        <w:bookmarkStart w:id="87" w:name="_Toc530496540"/>
                        <w:bookmarkStart w:id="88" w:name="_Toc530498369"/>
                        <w:bookmarkStart w:id="89" w:name="_Toc530499814"/>
                        <w:bookmarkStart w:id="90" w:name="_Toc530500421"/>
                        <w:bookmarkStart w:id="91" w:name="_Toc533259727"/>
                        <w:bookmarkStart w:id="92" w:name="_Toc533260221"/>
                        <w:bookmarkStart w:id="93" w:name="_Toc533261799"/>
                        <w:r w:rsidRPr="00031492">
                          <w:rPr>
                            <w:sz w:val="68"/>
                            <w:szCs w:val="68"/>
                            <w:lang w:val="en-US"/>
                          </w:rPr>
                          <w:t>Towards</w:t>
                        </w:r>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031492">
                          <w:rPr>
                            <w:sz w:val="68"/>
                            <w:szCs w:val="68"/>
                            <w:lang w:val="en-US"/>
                          </w:rPr>
                          <w:t xml:space="preserve"> </w:t>
                        </w:r>
                      </w:p>
                      <w:p w14:paraId="0DF424FD" w14:textId="1E092F0F" w:rsidR="00F1180F" w:rsidRPr="00031492" w:rsidRDefault="00F1180F" w:rsidP="00384D20">
                        <w:pPr>
                          <w:pStyle w:val="Heading1"/>
                          <w:numPr>
                            <w:ilvl w:val="0"/>
                            <w:numId w:val="0"/>
                          </w:numPr>
                          <w:spacing w:before="0"/>
                          <w:jc w:val="right"/>
                          <w:rPr>
                            <w:sz w:val="68"/>
                            <w:szCs w:val="68"/>
                            <w:lang w:val="en-US"/>
                          </w:rPr>
                        </w:pPr>
                        <w:bookmarkStart w:id="94" w:name="_Toc530481391"/>
                        <w:bookmarkStart w:id="95" w:name="_Toc530483392"/>
                        <w:bookmarkStart w:id="96" w:name="_Toc530488640"/>
                        <w:bookmarkStart w:id="97" w:name="_Toc530490110"/>
                        <w:bookmarkStart w:id="98" w:name="_Toc530494639"/>
                        <w:bookmarkStart w:id="99" w:name="_Toc530495404"/>
                        <w:bookmarkStart w:id="100" w:name="_Toc530495505"/>
                        <w:bookmarkStart w:id="101" w:name="_Toc530496541"/>
                        <w:bookmarkStart w:id="102" w:name="_Toc530498370"/>
                        <w:bookmarkStart w:id="103" w:name="_Toc530499815"/>
                        <w:bookmarkStart w:id="104" w:name="_Toc530500422"/>
                        <w:bookmarkStart w:id="105" w:name="_Toc533259725"/>
                        <w:bookmarkStart w:id="106" w:name="_Toc533260219"/>
                        <w:bookmarkStart w:id="107" w:name="_Toc533261797"/>
                        <w:r w:rsidRPr="00031492">
                          <w:rPr>
                            <w:sz w:val="68"/>
                            <w:szCs w:val="68"/>
                            <w:lang w:val="en-US"/>
                          </w:rPr>
                          <w:t xml:space="preserve">Interoperability for Electricity </w:t>
                        </w:r>
                        <w:r>
                          <w:rPr>
                            <w:sz w:val="68"/>
                            <w:szCs w:val="68"/>
                            <w:lang w:val="en-US"/>
                          </w:rPr>
                          <w:t>and</w:t>
                        </w:r>
                        <w:r w:rsidRPr="00031492">
                          <w:rPr>
                            <w:sz w:val="68"/>
                            <w:szCs w:val="68"/>
                            <w:lang w:val="en-US"/>
                          </w:rPr>
                          <w:t xml:space="preserve"> Gas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031492">
                          <w:rPr>
                            <w:sz w:val="68"/>
                            <w:szCs w:val="68"/>
                            <w:lang w:val="en-US"/>
                          </w:rPr>
                          <w:t xml:space="preserve"> </w:t>
                        </w:r>
                      </w:p>
                      <w:p w14:paraId="221B4FAA" w14:textId="5A575D02" w:rsidR="00F1180F" w:rsidRPr="00031492" w:rsidRDefault="00F1180F" w:rsidP="00384D20">
                        <w:pPr>
                          <w:pStyle w:val="Heading1"/>
                          <w:numPr>
                            <w:ilvl w:val="0"/>
                            <w:numId w:val="0"/>
                          </w:numPr>
                          <w:spacing w:before="0"/>
                          <w:jc w:val="right"/>
                          <w:rPr>
                            <w:sz w:val="68"/>
                            <w:szCs w:val="68"/>
                            <w:lang w:val="en-US"/>
                          </w:rPr>
                        </w:pPr>
                        <w:bookmarkStart w:id="108" w:name="_Toc530481392"/>
                        <w:bookmarkStart w:id="109" w:name="_Toc530483393"/>
                        <w:bookmarkStart w:id="110" w:name="_Toc530488641"/>
                        <w:bookmarkStart w:id="111" w:name="_Toc530490111"/>
                        <w:bookmarkStart w:id="112" w:name="_Toc530494640"/>
                        <w:bookmarkStart w:id="113" w:name="_Toc530495405"/>
                        <w:bookmarkStart w:id="114" w:name="_Toc530495506"/>
                        <w:bookmarkStart w:id="115" w:name="_Toc530496542"/>
                        <w:bookmarkStart w:id="116" w:name="_Toc530498372"/>
                        <w:bookmarkStart w:id="117" w:name="_Toc530499816"/>
                        <w:bookmarkStart w:id="118" w:name="_Toc530500423"/>
                        <w:bookmarkStart w:id="119" w:name="_Toc533259724"/>
                        <w:bookmarkStart w:id="120" w:name="_Toc533260218"/>
                        <w:bookmarkStart w:id="121" w:name="_Toc533261796"/>
                        <w:r w:rsidRPr="00031492">
                          <w:rPr>
                            <w:sz w:val="68"/>
                            <w:szCs w:val="68"/>
                            <w:lang w:val="en-US"/>
                          </w:rPr>
                          <w:t xml:space="preserve">Data Access &amp; Exchange </w:t>
                        </w:r>
                        <w:r>
                          <w:rPr>
                            <w:sz w:val="68"/>
                            <w:szCs w:val="68"/>
                            <w:lang w:val="en-US"/>
                          </w:rPr>
                          <w:t>within the EU</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sz w:val="68"/>
                            <w:szCs w:val="68"/>
                            <w:lang w:val="en-US"/>
                          </w:rPr>
                          <w:t xml:space="preserve"> </w:t>
                        </w:r>
                      </w:p>
                      <w:p w14:paraId="292C8A43" w14:textId="77777777" w:rsidR="00F1180F" w:rsidRDefault="00F1180F">
                        <w:pPr>
                          <w:rPr>
                            <w:lang w:val="en-US"/>
                          </w:rPr>
                        </w:pPr>
                      </w:p>
                      <w:p w14:paraId="2CC0F219" w14:textId="77777777" w:rsidR="00F1180F" w:rsidRDefault="00F1180F">
                        <w:pPr>
                          <w:jc w:val="right"/>
                          <w:rPr>
                            <w:color w:val="FFFFFF"/>
                            <w:sz w:val="40"/>
                            <w:lang w:val="en-GB"/>
                          </w:rPr>
                        </w:pPr>
                        <w:r>
                          <w:rPr>
                            <w:sz w:val="40"/>
                            <w:lang w:val="en-GB"/>
                          </w:rPr>
                          <w:t xml:space="preserve">     </w:t>
                        </w:r>
                      </w:p>
                      <w:p w14:paraId="0114870C" w14:textId="77777777" w:rsidR="00F1180F" w:rsidRDefault="00F1180F">
                        <w:pPr>
                          <w:jc w:val="right"/>
                          <w:rPr>
                            <w:color w:val="FFFFFF"/>
                            <w:sz w:val="28"/>
                            <w:lang w:val="en-GB"/>
                          </w:rPr>
                        </w:pPr>
                      </w:p>
                    </w:txbxContent>
                  </v:textbox>
                </v:rect>
                <v:rect id="Rectangle 78" o:spid="_x0000_s1037" style="position:absolute;left:350;top:440;width:11537;height: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" fillcolor="#953735" stroked="f">
                  <v:textbox inset="18pt,,18pt">
                    <w:txbxContent>
                      <w:p w14:paraId="4ECC5428" w14:textId="77777777" w:rsidR="00F1180F" w:rsidRDefault="00F1180F">
                        <w:pPr>
                          <w:pStyle w:val="NoSpacing"/>
                          <w:rPr>
                            <w:color w:val="FFFFFF"/>
                            <w:sz w:val="44"/>
                            <w:lang w:val="en-GB"/>
                          </w:rPr>
                        </w:pPr>
                        <w:r>
                          <w:rPr>
                            <w:color w:val="FFFFFF"/>
                            <w:sz w:val="44"/>
                            <w:lang w:val="en-GB"/>
                          </w:rPr>
                          <w:t>European Smart Grids Task Force</w:t>
                        </w:r>
                      </w:p>
                      <w:p w14:paraId="0FC570DE" w14:textId="77777777" w:rsidR="00F1180F" w:rsidRDefault="00F1180F">
                        <w:pPr>
                          <w:pStyle w:val="NoSpacing"/>
                          <w:rPr>
                            <w:color w:val="FFFFFF"/>
                            <w:sz w:val="44"/>
                            <w:lang w:val="en-GB"/>
                          </w:rPr>
                        </w:pPr>
                        <w:r>
                          <w:rPr>
                            <w:color w:val="FFFFFF"/>
                            <w:sz w:val="44"/>
                            <w:lang w:val="en-GB"/>
                          </w:rPr>
                          <w:t>Expert Group 1 – Standards and Interoperability</w:t>
                        </w:r>
                      </w:p>
                      <w:p w14:paraId="2487A6DA" w14:textId="77777777" w:rsidR="00F1180F" w:rsidRDefault="00F1180F">
                        <w:pPr>
                          <w:pStyle w:val="NoSpacing"/>
                          <w:rPr>
                            <w:b/>
                            <w:smallCaps/>
                            <w:color w:val="FFFFFF"/>
                            <w:sz w:val="44"/>
                            <w:lang w:val="en-GB"/>
                          </w:rPr>
                        </w:pPr>
                        <w:r>
                          <w:rPr>
                            <w:b/>
                            <w:color w:val="FFFFFF"/>
                            <w:sz w:val="44"/>
                            <w:lang w:val="en-GB"/>
                          </w:rPr>
                          <w:t xml:space="preserve">Working Group on Data Format &amp; Procedures </w:t>
                        </w:r>
                      </w:p>
                    </w:txbxContent>
                  </v:textbox>
                </v:rect>
                <w10:wrap anchorx="page" anchory="page"/>
              </v:group>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227097">
        <w:br w:type="page"/>
      </w:r>
    </w:p>
    <w:p w14:paraId="19EF640D" w14:textId="77777777" w:rsidR="00632334" w:rsidRDefault="00227097" w:rsidP="005A68BA">
      <w:pPr>
        <w:pStyle w:val="TOCHeading"/>
        <w:numPr>
          <w:ilvl w:val="0"/>
          <w:numId w:val="0"/>
        </w:numPr>
        <w:ind w:left="432" w:hanging="432"/>
        <w:rPr>
          <w:lang w:val="en-GB" w:eastAsia="ar-SA"/>
        </w:rPr>
      </w:pPr>
      <w:bookmarkStart w:id="122" w:name="_Toc501722924"/>
      <w:bookmarkStart w:id="123" w:name="_Toc501722974"/>
      <w:bookmarkStart w:id="124" w:name="_Toc504486547"/>
      <w:bookmarkStart w:id="125" w:name="_Toc504486752"/>
      <w:bookmarkStart w:id="126" w:name="_Toc513373351"/>
      <w:bookmarkStart w:id="127" w:name="_Toc513376747"/>
      <w:bookmarkStart w:id="128" w:name="_Toc515823776"/>
      <w:bookmarkStart w:id="129" w:name="_Toc515823892"/>
      <w:bookmarkStart w:id="130" w:name="_Toc515824073"/>
      <w:bookmarkStart w:id="131" w:name="_Toc515984174"/>
      <w:bookmarkStart w:id="132" w:name="_Toc515985062"/>
      <w:bookmarkStart w:id="133" w:name="_Toc515985147"/>
      <w:bookmarkStart w:id="134" w:name="_Toc516081694"/>
      <w:bookmarkStart w:id="135" w:name="_Toc517687420"/>
      <w:bookmarkStart w:id="136" w:name="_Toc530481393"/>
      <w:bookmarkStart w:id="137" w:name="_Toc530483395"/>
      <w:bookmarkStart w:id="138" w:name="_Toc530488643"/>
      <w:bookmarkStart w:id="139" w:name="_Toc530490113"/>
      <w:bookmarkStart w:id="140" w:name="_Toc530494642"/>
      <w:bookmarkStart w:id="141" w:name="_Toc530495406"/>
      <w:bookmarkStart w:id="142" w:name="_Toc530495507"/>
      <w:bookmarkStart w:id="143" w:name="_Toc530496544"/>
      <w:bookmarkStart w:id="144" w:name="_Toc530498373"/>
      <w:bookmarkStart w:id="145" w:name="_Toc530499817"/>
      <w:bookmarkStart w:id="146" w:name="_Toc530500424"/>
      <w:bookmarkStart w:id="147" w:name="_Toc533259728"/>
      <w:bookmarkStart w:id="148" w:name="_Toc533260222"/>
      <w:bookmarkStart w:id="149" w:name="_Toc533261800"/>
      <w:bookmarkEnd w:id="23"/>
      <w:bookmarkEnd w:id="24"/>
      <w:bookmarkEnd w:id="25"/>
      <w:bookmarkEnd w:id="26"/>
      <w:bookmarkEnd w:id="27"/>
      <w:bookmarkEnd w:id="28"/>
      <w:bookmarkEnd w:id="29"/>
      <w:bookmarkEnd w:id="30"/>
      <w:r>
        <w:rPr>
          <w:lang w:val="en-GB" w:eastAsia="ar-SA"/>
        </w:rPr>
        <w:lastRenderedPageBreak/>
        <w:t>Acknowledgments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0FDE0A63" w14:textId="77777777" w:rsidR="00632334" w:rsidRDefault="00632334">
      <w:pPr>
        <w:spacing w:after="0" w:line="240" w:lineRule="auto"/>
        <w:jc w:val="both"/>
        <w:rPr>
          <w:rFonts w:ascii="Times New Roman" w:eastAsia="Times New Roman" w:hAnsi="Times New Roman" w:cs="Times New Roman"/>
          <w:sz w:val="24"/>
          <w:lang w:val="en-GB" w:eastAsia="ar-SA"/>
        </w:rPr>
      </w:pPr>
    </w:p>
    <w:p w14:paraId="634BFE4C" w14:textId="77777777" w:rsidR="00632334" w:rsidRDefault="00632334" w:rsidP="000116E7">
      <w:pPr>
        <w:spacing w:after="0" w:line="240" w:lineRule="auto"/>
        <w:jc w:val="both"/>
        <w:rPr>
          <w:rFonts w:ascii="Times New Roman" w:eastAsia="Times New Roman" w:hAnsi="Times New Roman" w:cs="Times New Roman"/>
          <w:sz w:val="24"/>
          <w:highlight w:val="yellow"/>
          <w:lang w:val="en-GB" w:eastAsia="ar-SA"/>
        </w:rPr>
      </w:pPr>
    </w:p>
    <w:p w14:paraId="7567A264" w14:textId="4BCF81D7" w:rsidR="00632334" w:rsidRDefault="00227097" w:rsidP="000116E7">
      <w:pPr>
        <w:spacing w:after="0" w:line="240" w:lineRule="auto"/>
        <w:jc w:val="both"/>
        <w:rPr>
          <w:rFonts w:ascii="Times New Roman" w:eastAsia="Times New Roman" w:hAnsi="Times New Roman" w:cs="Times New Roman"/>
          <w:sz w:val="24"/>
          <w:lang w:val="en-GB" w:eastAsia="ar-SA"/>
        </w:rPr>
      </w:pPr>
      <w:r w:rsidRPr="0034426B">
        <w:rPr>
          <w:rFonts w:ascii="Times New Roman" w:eastAsia="Times New Roman" w:hAnsi="Times New Roman" w:cs="Times New Roman"/>
          <w:sz w:val="24"/>
          <w:lang w:val="en-GB" w:eastAsia="ar-SA"/>
        </w:rPr>
        <w:t xml:space="preserve">This report </w:t>
      </w:r>
      <w:r w:rsidR="00B74101">
        <w:rPr>
          <w:rFonts w:ascii="Times New Roman" w:eastAsia="Times New Roman" w:hAnsi="Times New Roman" w:cs="Times New Roman"/>
          <w:sz w:val="24"/>
          <w:lang w:val="en-GB" w:eastAsia="ar-SA"/>
        </w:rPr>
        <w:t>was</w:t>
      </w:r>
      <w:r w:rsidRPr="0034426B">
        <w:rPr>
          <w:rFonts w:ascii="Times New Roman" w:eastAsia="Times New Roman" w:hAnsi="Times New Roman" w:cs="Times New Roman"/>
          <w:sz w:val="24"/>
          <w:lang w:val="en-GB" w:eastAsia="ar-SA"/>
        </w:rPr>
        <w:t xml:space="preserve"> prepared by the Working Group on Data Format and Procedures under the Expert Group 1 (EG1, 'Standards and Interoperability for Smart Grids Deployment') of the European Smart Grids Task Force and is a product of intensive work and discussions during </w:t>
      </w:r>
      <w:r w:rsidR="00FE32BE">
        <w:rPr>
          <w:rFonts w:ascii="Times New Roman" w:eastAsia="Times New Roman" w:hAnsi="Times New Roman" w:cs="Times New Roman"/>
          <w:sz w:val="24"/>
          <w:lang w:val="en-GB" w:eastAsia="ar-SA"/>
        </w:rPr>
        <w:t>2017-2018</w:t>
      </w:r>
      <w:r w:rsidR="000D01CB" w:rsidRPr="0034426B">
        <w:rPr>
          <w:rFonts w:ascii="Times New Roman" w:eastAsia="Times New Roman" w:hAnsi="Times New Roman" w:cs="Times New Roman"/>
          <w:sz w:val="24"/>
          <w:lang w:val="en-GB" w:eastAsia="ar-SA"/>
        </w:rPr>
        <w:t xml:space="preserve"> </w:t>
      </w:r>
      <w:r w:rsidRPr="0034426B">
        <w:rPr>
          <w:rFonts w:ascii="Times New Roman" w:eastAsia="Times New Roman" w:hAnsi="Times New Roman" w:cs="Times New Roman"/>
          <w:sz w:val="24"/>
          <w:lang w:val="en-GB" w:eastAsia="ar-SA"/>
        </w:rPr>
        <w:t>amongst EG1 stakeholders. Special thanks are due to all the ex</w:t>
      </w:r>
      <w:r w:rsidR="00FE32BE">
        <w:rPr>
          <w:rFonts w:ascii="Times New Roman" w:eastAsia="Times New Roman" w:hAnsi="Times New Roman" w:cs="Times New Roman"/>
          <w:sz w:val="24"/>
          <w:lang w:val="en-GB" w:eastAsia="ar-SA"/>
        </w:rPr>
        <w:t>perts (see Annex A) who contrib</w:t>
      </w:r>
      <w:r w:rsidRPr="0034426B">
        <w:rPr>
          <w:rFonts w:ascii="Times New Roman" w:eastAsia="Times New Roman" w:hAnsi="Times New Roman" w:cs="Times New Roman"/>
          <w:sz w:val="24"/>
          <w:lang w:val="en-GB" w:eastAsia="ar-SA"/>
        </w:rPr>
        <w:t xml:space="preserve">uted in the course of this work and especially to the </w:t>
      </w:r>
      <w:r w:rsidR="00FE32BE">
        <w:rPr>
          <w:rFonts w:ascii="Times New Roman" w:eastAsia="Times New Roman" w:hAnsi="Times New Roman" w:cs="Times New Roman"/>
          <w:sz w:val="24"/>
          <w:lang w:val="en-GB" w:eastAsia="ar-SA"/>
        </w:rPr>
        <w:t xml:space="preserve">extended </w:t>
      </w:r>
      <w:r w:rsidRPr="0034426B">
        <w:rPr>
          <w:rFonts w:ascii="Times New Roman" w:eastAsia="Times New Roman" w:hAnsi="Times New Roman" w:cs="Times New Roman"/>
          <w:sz w:val="24"/>
          <w:lang w:val="en-GB" w:eastAsia="ar-SA"/>
        </w:rPr>
        <w:t>Editorial Team.</w:t>
      </w:r>
    </w:p>
    <w:p w14:paraId="23CDCF0A"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298C7E16"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0DCDE876"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2F5BC1DF" w14:textId="77777777" w:rsidR="00632334" w:rsidRDefault="00632334" w:rsidP="000575A2">
      <w:pPr>
        <w:pStyle w:val="NoSpacing"/>
        <w:rPr>
          <w:lang w:val="en-GB" w:eastAsia="ar-SA"/>
        </w:rPr>
      </w:pPr>
    </w:p>
    <w:p w14:paraId="6E295B08"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439625A3"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722EAF0F"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03FED248"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61D5C322"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60ABEB48"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3E6E13A1"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1FF3E59A"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6ABBFDD0"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49050F98"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62341DCC"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04680450"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257A2570"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59FB1240"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0FF815EB"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3B6D84BB"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7389C1C9"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06DC43A5"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4B1BBBBA"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01FD9D8D"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7991C891"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68C8522B"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68053753"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2B286716" w14:textId="77777777" w:rsidR="00632334" w:rsidRDefault="00632334">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b/>
          <w:sz w:val="24"/>
          <w:lang w:val="en-GB" w:eastAsia="ar-SA"/>
        </w:rPr>
      </w:pPr>
    </w:p>
    <w:p w14:paraId="48077B1A" w14:textId="77777777" w:rsidR="00632334" w:rsidRDefault="00227097">
      <w:pPr>
        <w:pBdr>
          <w:top w:val="single" w:sz="4" w:space="0" w:color="000000"/>
          <w:left w:val="single" w:sz="4" w:space="0" w:color="000000"/>
          <w:bottom w:val="single" w:sz="4" w:space="0" w:color="000000"/>
          <w:right w:val="single" w:sz="4" w:space="0" w:color="000000"/>
        </w:pBdr>
        <w:spacing w:after="0" w:line="240" w:lineRule="auto"/>
        <w:jc w:val="both"/>
        <w:rPr>
          <w:lang w:val="en-GB"/>
        </w:rPr>
      </w:pPr>
      <w:r>
        <w:rPr>
          <w:rFonts w:ascii="Times New Roman" w:eastAsia="Times New Roman" w:hAnsi="Times New Roman" w:cs="Times New Roman"/>
          <w:b/>
          <w:sz w:val="28"/>
          <w:lang w:val="en-GB" w:eastAsia="ar-SA"/>
        </w:rPr>
        <w:t>DISCLAIMER</w:t>
      </w:r>
      <w:r>
        <w:rPr>
          <w:rFonts w:ascii="Times New Roman" w:eastAsia="Times New Roman" w:hAnsi="Times New Roman" w:cs="Times New Roman"/>
          <w:b/>
          <w:sz w:val="24"/>
          <w:lang w:val="en-GB" w:eastAsia="ar-SA"/>
        </w:rPr>
        <w:t xml:space="preserve"> </w:t>
      </w:r>
    </w:p>
    <w:p w14:paraId="620A728E" w14:textId="77777777" w:rsidR="00632334" w:rsidRDefault="00632334">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b/>
          <w:sz w:val="24"/>
          <w:lang w:val="en-GB" w:eastAsia="ar-SA"/>
        </w:rPr>
      </w:pPr>
    </w:p>
    <w:p w14:paraId="45D990D2" w14:textId="77777777" w:rsidR="00632334" w:rsidRDefault="00632334">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lang w:val="en-GB" w:eastAsia="ar-SA"/>
        </w:rPr>
      </w:pPr>
    </w:p>
    <w:p w14:paraId="46959CF5" w14:textId="77777777" w:rsidR="00632334" w:rsidRDefault="00227097">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lang w:val="en-GB" w:eastAsia="ar-SA"/>
        </w:rPr>
      </w:pPr>
      <w:r>
        <w:rPr>
          <w:rFonts w:ascii="Times New Roman" w:eastAsia="Times New Roman" w:hAnsi="Times New Roman" w:cs="Times New Roman"/>
          <w:sz w:val="24"/>
          <w:lang w:val="en-GB" w:eastAsia="ar-SA"/>
        </w:rPr>
        <w:t xml:space="preserve">This document is the result of the consensus reached among experts of the Expert Group for 'Standards and Interoperability for Smart Grids Deployment (EG1) within the European Smart Grids Task Force. </w:t>
      </w:r>
    </w:p>
    <w:p w14:paraId="74B34695" w14:textId="77777777" w:rsidR="00632334" w:rsidRDefault="00632334">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lang w:val="en-GB" w:eastAsia="ar-SA"/>
        </w:rPr>
      </w:pPr>
    </w:p>
    <w:p w14:paraId="1CA7AB55" w14:textId="77777777" w:rsidR="00632334" w:rsidRDefault="00227097">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lang w:val="en-GB" w:eastAsia="ar-SA"/>
        </w:rPr>
      </w:pPr>
      <w:r>
        <w:rPr>
          <w:rFonts w:ascii="Times New Roman" w:eastAsia="Times New Roman" w:hAnsi="Times New Roman" w:cs="Times New Roman"/>
          <w:sz w:val="24"/>
          <w:lang w:val="en-GB" w:eastAsia="ar-SA"/>
        </w:rPr>
        <w:t xml:space="preserve">This document does not represent the opinion of the European Commission. Neither the European Commission, nor any person acting on the behalf of the European Commission, is responsible for the use that may be made of the information arising from this document. </w:t>
      </w:r>
    </w:p>
    <w:p w14:paraId="67649040" w14:textId="77777777" w:rsidR="00632334" w:rsidRDefault="00632334">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lang w:val="en-GB" w:eastAsia="ar-SA"/>
        </w:rPr>
      </w:pPr>
    </w:p>
    <w:p w14:paraId="17FEE62E" w14:textId="77777777" w:rsidR="00632334" w:rsidRDefault="00632334">
      <w:pPr>
        <w:spacing w:after="0" w:line="240" w:lineRule="auto"/>
        <w:jc w:val="both"/>
        <w:rPr>
          <w:rFonts w:ascii="Times New Roman" w:eastAsia="Times New Roman" w:hAnsi="Times New Roman" w:cs="Times New Roman"/>
          <w:b/>
          <w:sz w:val="24"/>
          <w:lang w:val="en-GB" w:eastAsia="ar-SA"/>
        </w:rPr>
      </w:pPr>
    </w:p>
    <w:p w14:paraId="7EB7E2CF" w14:textId="77777777" w:rsidR="00632334" w:rsidRDefault="00632334">
      <w:pPr>
        <w:jc w:val="center"/>
        <w:rPr>
          <w:lang w:val="en-GB"/>
        </w:rPr>
      </w:pPr>
    </w:p>
    <w:p w14:paraId="6F850D6B" w14:textId="77777777" w:rsidR="00632334" w:rsidRDefault="00632334">
      <w:pPr>
        <w:rPr>
          <w:lang w:val="en-GB"/>
        </w:rPr>
      </w:pPr>
    </w:p>
    <w:p w14:paraId="144CACAC" w14:textId="66B337B8" w:rsidR="004B43AB" w:rsidRDefault="004B43AB">
      <w:pPr>
        <w:spacing w:after="0"/>
        <w:jc w:val="center"/>
        <w:rPr>
          <w:sz w:val="40"/>
          <w:lang w:val="en-GB"/>
        </w:rPr>
      </w:pPr>
      <w:r>
        <w:rPr>
          <w:b/>
          <w:sz w:val="40"/>
          <w:lang w:val="en-GB"/>
        </w:rPr>
        <w:t>Final</w:t>
      </w:r>
      <w:r w:rsidR="00227097">
        <w:rPr>
          <w:b/>
          <w:sz w:val="40"/>
          <w:lang w:val="en-GB"/>
        </w:rPr>
        <w:t xml:space="preserve"> Report</w:t>
      </w:r>
      <w:r>
        <w:rPr>
          <w:sz w:val="40"/>
          <w:lang w:val="en-GB"/>
        </w:rPr>
        <w:t xml:space="preserve"> </w:t>
      </w:r>
    </w:p>
    <w:p w14:paraId="4D9461C0" w14:textId="77777777" w:rsidR="004B43AB" w:rsidRDefault="004B43AB">
      <w:pPr>
        <w:spacing w:after="0"/>
        <w:jc w:val="center"/>
        <w:rPr>
          <w:sz w:val="40"/>
          <w:lang w:val="en-GB"/>
        </w:rPr>
      </w:pPr>
    </w:p>
    <w:p w14:paraId="33926435" w14:textId="002D8591" w:rsidR="004B43AB" w:rsidRDefault="004B43AB">
      <w:pPr>
        <w:spacing w:after="0"/>
        <w:jc w:val="center"/>
        <w:rPr>
          <w:b/>
          <w:sz w:val="40"/>
          <w:lang w:val="en-GB"/>
        </w:rPr>
      </w:pPr>
      <w:r>
        <w:rPr>
          <w:b/>
          <w:sz w:val="40"/>
          <w:lang w:val="en-GB"/>
        </w:rPr>
        <w:t xml:space="preserve">Towards </w:t>
      </w:r>
      <w:r w:rsidR="009B13BC">
        <w:rPr>
          <w:b/>
          <w:sz w:val="40"/>
          <w:lang w:val="en-GB"/>
        </w:rPr>
        <w:t>I</w:t>
      </w:r>
      <w:r w:rsidRPr="004B43AB">
        <w:rPr>
          <w:b/>
          <w:sz w:val="40"/>
          <w:lang w:val="en-GB"/>
        </w:rPr>
        <w:t xml:space="preserve">nteroperability </w:t>
      </w:r>
    </w:p>
    <w:p w14:paraId="5E60A334" w14:textId="6ACB6029" w:rsidR="00632334" w:rsidRDefault="004B43AB" w:rsidP="004B43AB">
      <w:pPr>
        <w:spacing w:after="0"/>
        <w:jc w:val="center"/>
        <w:rPr>
          <w:b/>
          <w:sz w:val="40"/>
          <w:lang w:val="en-GB"/>
        </w:rPr>
      </w:pPr>
      <w:r>
        <w:rPr>
          <w:b/>
          <w:sz w:val="40"/>
          <w:lang w:val="en-GB"/>
        </w:rPr>
        <w:t>for</w:t>
      </w:r>
      <w:r w:rsidRPr="004B43AB">
        <w:rPr>
          <w:b/>
          <w:sz w:val="40"/>
          <w:lang w:val="en-GB"/>
        </w:rPr>
        <w:t xml:space="preserve"> Electricity and Gas Data Access &amp; Exchange</w:t>
      </w:r>
    </w:p>
    <w:p w14:paraId="1734EE65" w14:textId="0F147059" w:rsidR="00FA65A1" w:rsidRDefault="00FA65A1" w:rsidP="004B43AB">
      <w:pPr>
        <w:spacing w:after="0"/>
        <w:jc w:val="center"/>
        <w:rPr>
          <w:b/>
          <w:sz w:val="40"/>
          <w:lang w:val="en-GB"/>
        </w:rPr>
      </w:pPr>
      <w:r>
        <w:rPr>
          <w:b/>
          <w:sz w:val="40"/>
          <w:lang w:val="en-GB"/>
        </w:rPr>
        <w:t>within the EU</w:t>
      </w:r>
    </w:p>
    <w:p w14:paraId="6E5E122A" w14:textId="4CF104BD" w:rsidR="009B13BC" w:rsidRDefault="009B13BC" w:rsidP="004B43AB">
      <w:pPr>
        <w:spacing w:after="0"/>
        <w:jc w:val="center"/>
        <w:rPr>
          <w:b/>
          <w:sz w:val="40"/>
          <w:lang w:val="en-GB"/>
        </w:rPr>
      </w:pPr>
    </w:p>
    <w:p w14:paraId="5BE3BBDC" w14:textId="77777777" w:rsidR="004B43AB" w:rsidRDefault="004B43AB">
      <w:pPr>
        <w:spacing w:after="0"/>
        <w:jc w:val="center"/>
        <w:rPr>
          <w:sz w:val="40"/>
          <w:lang w:val="en-GB"/>
        </w:rPr>
      </w:pPr>
    </w:p>
    <w:p w14:paraId="3C61D9EF" w14:textId="422FC4C6" w:rsidR="00632334" w:rsidRPr="00384D20" w:rsidRDefault="00A55C25">
      <w:pPr>
        <w:spacing w:after="0"/>
        <w:jc w:val="center"/>
        <w:rPr>
          <w:sz w:val="32"/>
          <w:szCs w:val="32"/>
          <w:lang w:val="en-GB"/>
        </w:rPr>
      </w:pPr>
      <w:r w:rsidRPr="00384D20">
        <w:rPr>
          <w:sz w:val="32"/>
          <w:szCs w:val="32"/>
          <w:lang w:val="en-GB"/>
        </w:rPr>
        <w:t xml:space="preserve">based on </w:t>
      </w:r>
      <w:r w:rsidR="00433A7C" w:rsidRPr="00384D20">
        <w:rPr>
          <w:sz w:val="32"/>
          <w:szCs w:val="32"/>
          <w:lang w:val="en-GB"/>
        </w:rPr>
        <w:t xml:space="preserve">the </w:t>
      </w:r>
      <w:r w:rsidRPr="00384D20">
        <w:rPr>
          <w:sz w:val="32"/>
          <w:szCs w:val="32"/>
          <w:lang w:val="en-GB"/>
        </w:rPr>
        <w:t>f</w:t>
      </w:r>
      <w:r w:rsidR="00227097" w:rsidRPr="00384D20">
        <w:rPr>
          <w:sz w:val="32"/>
          <w:szCs w:val="32"/>
          <w:lang w:val="en-GB"/>
        </w:rPr>
        <w:t xml:space="preserve">indings </w:t>
      </w:r>
      <w:r w:rsidR="004B43AB" w:rsidRPr="00384D20">
        <w:rPr>
          <w:sz w:val="32"/>
          <w:szCs w:val="32"/>
          <w:lang w:val="en-GB"/>
        </w:rPr>
        <w:t xml:space="preserve">of the EG1 Working Group </w:t>
      </w:r>
    </w:p>
    <w:p w14:paraId="10F269B6" w14:textId="459AAE49" w:rsidR="00632334" w:rsidRPr="00384D20" w:rsidRDefault="004B43AB">
      <w:pPr>
        <w:jc w:val="center"/>
        <w:rPr>
          <w:sz w:val="40"/>
          <w:lang w:val="en-GB"/>
        </w:rPr>
      </w:pPr>
      <w:r w:rsidRPr="00384D20">
        <w:rPr>
          <w:sz w:val="32"/>
          <w:szCs w:val="32"/>
          <w:lang w:val="en-GB"/>
        </w:rPr>
        <w:t>“</w:t>
      </w:r>
      <w:r w:rsidR="00227097" w:rsidRPr="00384D20">
        <w:rPr>
          <w:sz w:val="32"/>
          <w:szCs w:val="32"/>
          <w:lang w:val="en-GB"/>
        </w:rPr>
        <w:t>Electricity and Gas Data Format and Procedures</w:t>
      </w:r>
      <w:r w:rsidRPr="00384D20">
        <w:rPr>
          <w:sz w:val="32"/>
          <w:szCs w:val="32"/>
          <w:lang w:val="en-GB"/>
        </w:rPr>
        <w:t>”</w:t>
      </w:r>
      <w:r w:rsidR="00227097" w:rsidRPr="00384D20">
        <w:rPr>
          <w:sz w:val="40"/>
          <w:lang w:val="en-GB"/>
        </w:rPr>
        <w:t xml:space="preserve">  </w:t>
      </w:r>
    </w:p>
    <w:p w14:paraId="3ECE3453" w14:textId="77777777" w:rsidR="00632334" w:rsidRDefault="00632334">
      <w:pPr>
        <w:jc w:val="center"/>
        <w:rPr>
          <w:sz w:val="40"/>
          <w:lang w:val="en-GB"/>
        </w:rPr>
      </w:pPr>
    </w:p>
    <w:p w14:paraId="07BA1964" w14:textId="77777777" w:rsidR="00632334" w:rsidRDefault="00632334">
      <w:pPr>
        <w:jc w:val="center"/>
        <w:rPr>
          <w:sz w:val="40"/>
          <w:lang w:val="en-GB"/>
        </w:rPr>
      </w:pPr>
    </w:p>
    <w:p w14:paraId="096CBE83" w14:textId="77777777" w:rsidR="00632334" w:rsidRDefault="00227097">
      <w:pPr>
        <w:tabs>
          <w:tab w:val="left" w:pos="6897"/>
        </w:tabs>
        <w:rPr>
          <w:sz w:val="40"/>
          <w:lang w:val="en-GB"/>
        </w:rPr>
      </w:pPr>
      <w:r>
        <w:rPr>
          <w:sz w:val="40"/>
          <w:lang w:val="en-GB"/>
        </w:rPr>
        <w:tab/>
      </w:r>
    </w:p>
    <w:p w14:paraId="2BD56F5F" w14:textId="77777777" w:rsidR="00632334" w:rsidRDefault="00632334">
      <w:pPr>
        <w:tabs>
          <w:tab w:val="left" w:pos="6897"/>
        </w:tabs>
        <w:rPr>
          <w:sz w:val="40"/>
          <w:lang w:val="en-GB"/>
        </w:rPr>
      </w:pPr>
    </w:p>
    <w:p w14:paraId="361E69CD" w14:textId="77777777" w:rsidR="00632334" w:rsidRDefault="00632334">
      <w:pPr>
        <w:jc w:val="center"/>
        <w:rPr>
          <w:sz w:val="40"/>
          <w:lang w:val="en-GB"/>
        </w:rPr>
      </w:pPr>
    </w:p>
    <w:p w14:paraId="7B909363" w14:textId="5F583FD5" w:rsidR="00632334" w:rsidRDefault="00632334">
      <w:pPr>
        <w:rPr>
          <w:sz w:val="40"/>
          <w:lang w:val="en-GB"/>
        </w:rPr>
      </w:pPr>
    </w:p>
    <w:p w14:paraId="747326C3" w14:textId="77777777" w:rsidR="00632334" w:rsidRDefault="00227097">
      <w:pPr>
        <w:rPr>
          <w:b/>
          <w:sz w:val="32"/>
          <w:lang w:val="en-GB"/>
        </w:rPr>
      </w:pPr>
      <w:r>
        <w:rPr>
          <w:b/>
          <w:sz w:val="32"/>
          <w:lang w:val="en-GB"/>
        </w:rPr>
        <w:t xml:space="preserve">Smart Grids Task Force </w:t>
      </w:r>
    </w:p>
    <w:p w14:paraId="00A2F2F7" w14:textId="77777777" w:rsidR="00632334" w:rsidRDefault="00227097">
      <w:pPr>
        <w:rPr>
          <w:b/>
          <w:sz w:val="32"/>
          <w:lang w:val="en-GB"/>
        </w:rPr>
      </w:pPr>
      <w:r>
        <w:rPr>
          <w:b/>
          <w:sz w:val="32"/>
          <w:lang w:val="en-GB"/>
        </w:rPr>
        <w:t>Expert Group 1 – Standards and Interoperability</w:t>
      </w:r>
    </w:p>
    <w:p w14:paraId="064FA568" w14:textId="77777777" w:rsidR="00632334" w:rsidRDefault="00227097">
      <w:pPr>
        <w:rPr>
          <w:lang w:val="en-GB"/>
        </w:rPr>
      </w:pPr>
      <w:r>
        <w:rPr>
          <w:b/>
          <w:sz w:val="32"/>
          <w:lang w:val="en-GB"/>
        </w:rPr>
        <w:t xml:space="preserve">Working Group on Data Format &amp; Procedures </w:t>
      </w:r>
    </w:p>
    <w:p w14:paraId="388938AF" w14:textId="77777777" w:rsidR="00632334" w:rsidRDefault="00632334">
      <w:pPr>
        <w:rPr>
          <w:b/>
          <w:sz w:val="36"/>
          <w:lang w:val="en-GB"/>
        </w:rPr>
      </w:pPr>
    </w:p>
    <w:p w14:paraId="035075DD" w14:textId="25850727" w:rsidR="00632334" w:rsidRDefault="00227097">
      <w:r>
        <w:rPr>
          <w:sz w:val="28"/>
          <w:lang w:val="en-GB"/>
        </w:rPr>
        <w:t xml:space="preserve">Date:  </w:t>
      </w:r>
      <w:r w:rsidR="00E37933">
        <w:rPr>
          <w:sz w:val="28"/>
          <w:lang w:val="en-US"/>
        </w:rPr>
        <w:t>December</w:t>
      </w:r>
      <w:r w:rsidR="004B43AB">
        <w:rPr>
          <w:sz w:val="28"/>
          <w:lang w:val="en-US"/>
        </w:rPr>
        <w:t xml:space="preserve"> 201</w:t>
      </w:r>
      <w:r w:rsidR="00E37933">
        <w:rPr>
          <w:sz w:val="28"/>
          <w:lang w:val="en-US"/>
        </w:rPr>
        <w:t>8</w:t>
      </w:r>
      <w:r>
        <w:rPr>
          <w:sz w:val="40"/>
          <w:lang w:val="en-GB"/>
        </w:rPr>
        <w:br w:type="page"/>
      </w:r>
    </w:p>
    <w:p w14:paraId="0974EE1F" w14:textId="28C9BDD4" w:rsidR="002850A1" w:rsidRPr="002850A1" w:rsidRDefault="00227097" w:rsidP="002850A1">
      <w:pPr>
        <w:pStyle w:val="TOCHeading"/>
        <w:numPr>
          <w:ilvl w:val="0"/>
          <w:numId w:val="0"/>
        </w:numPr>
        <w:ind w:left="432" w:hanging="432"/>
      </w:pPr>
      <w:bookmarkStart w:id="150" w:name="_Toc501722925"/>
      <w:bookmarkStart w:id="151" w:name="_Toc501722975"/>
      <w:bookmarkStart w:id="152" w:name="_Toc515823777"/>
      <w:bookmarkStart w:id="153" w:name="_Toc515823893"/>
      <w:bookmarkStart w:id="154" w:name="_Toc515824074"/>
      <w:bookmarkStart w:id="155" w:name="_Toc515984175"/>
      <w:bookmarkStart w:id="156" w:name="_Toc515985063"/>
      <w:bookmarkStart w:id="157" w:name="_Toc515985148"/>
      <w:bookmarkStart w:id="158" w:name="_Toc516081695"/>
      <w:bookmarkStart w:id="159" w:name="_Toc517687421"/>
      <w:bookmarkStart w:id="160" w:name="_Toc530481394"/>
      <w:bookmarkStart w:id="161" w:name="_Toc530483396"/>
      <w:bookmarkStart w:id="162" w:name="_Toc530488644"/>
      <w:bookmarkStart w:id="163" w:name="_Toc530490114"/>
      <w:bookmarkStart w:id="164" w:name="_Toc530494643"/>
      <w:bookmarkStart w:id="165" w:name="_Toc530495407"/>
      <w:bookmarkStart w:id="166" w:name="_Toc530495508"/>
      <w:bookmarkStart w:id="167" w:name="_Toc530496545"/>
      <w:bookmarkStart w:id="168" w:name="_Toc530498374"/>
      <w:bookmarkStart w:id="169" w:name="_Toc530499818"/>
      <w:bookmarkStart w:id="170" w:name="_Toc530500425"/>
      <w:bookmarkStart w:id="171" w:name="_Toc533259729"/>
      <w:bookmarkStart w:id="172" w:name="_Toc533260223"/>
      <w:bookmarkStart w:id="173" w:name="_Toc533261801"/>
      <w:r w:rsidRPr="00384D20">
        <w:lastRenderedPageBreak/>
        <w:t>Content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fldChar w:fldCharType="begin"/>
      </w:r>
      <w:r>
        <w:instrText xml:space="preserve"> TOC \o "1-5" \h \z \u </w:instrText>
      </w:r>
      <w:r>
        <w:fldChar w:fldCharType="separate"/>
      </w:r>
    </w:p>
    <w:p w14:paraId="65DFC645" w14:textId="77777777" w:rsidR="002850A1" w:rsidRPr="002850A1" w:rsidRDefault="00786F7B" w:rsidP="002850A1">
      <w:pPr>
        <w:pStyle w:val="TOC1"/>
        <w:tabs>
          <w:tab w:val="right" w:leader="dot" w:pos="9486"/>
        </w:tabs>
        <w:spacing w:after="40" w:line="240" w:lineRule="auto"/>
        <w:rPr>
          <w:rFonts w:asciiTheme="minorHAnsi" w:eastAsiaTheme="minorEastAsia" w:hAnsiTheme="minorHAnsi" w:cstheme="minorBidi"/>
          <w:b/>
          <w:noProof/>
          <w:color w:val="548DD4" w:themeColor="text2" w:themeTint="99"/>
          <w:sz w:val="24"/>
          <w:szCs w:val="24"/>
          <w:lang w:val="en-GB" w:eastAsia="en-GB"/>
        </w:rPr>
      </w:pPr>
      <w:hyperlink w:anchor="_Toc533261802" w:history="1">
        <w:r w:rsidR="002850A1" w:rsidRPr="002850A1">
          <w:rPr>
            <w:rStyle w:val="Hyperlink"/>
            <w:b/>
            <w:noProof/>
            <w:color w:val="548DD4" w:themeColor="text2" w:themeTint="99"/>
            <w:sz w:val="24"/>
            <w:szCs w:val="24"/>
            <w:lang w:val="en-GB"/>
          </w:rPr>
          <w:t>Executive Summary</w:t>
        </w:r>
        <w:r w:rsidR="002850A1" w:rsidRPr="002850A1">
          <w:rPr>
            <w:b/>
            <w:noProof/>
            <w:webHidden/>
            <w:color w:val="548DD4" w:themeColor="text2" w:themeTint="99"/>
            <w:sz w:val="24"/>
            <w:szCs w:val="24"/>
          </w:rPr>
          <w:tab/>
        </w:r>
        <w:r w:rsidR="002850A1" w:rsidRPr="002850A1">
          <w:rPr>
            <w:b/>
            <w:noProof/>
            <w:webHidden/>
            <w:color w:val="548DD4" w:themeColor="text2" w:themeTint="99"/>
            <w:sz w:val="24"/>
            <w:szCs w:val="24"/>
          </w:rPr>
          <w:fldChar w:fldCharType="begin"/>
        </w:r>
        <w:r w:rsidR="002850A1" w:rsidRPr="002850A1">
          <w:rPr>
            <w:b/>
            <w:noProof/>
            <w:webHidden/>
            <w:color w:val="548DD4" w:themeColor="text2" w:themeTint="99"/>
            <w:sz w:val="24"/>
            <w:szCs w:val="24"/>
          </w:rPr>
          <w:instrText xml:space="preserve"> PAGEREF _Toc533261802 \h </w:instrText>
        </w:r>
        <w:r w:rsidR="002850A1" w:rsidRPr="002850A1">
          <w:rPr>
            <w:b/>
            <w:noProof/>
            <w:webHidden/>
            <w:color w:val="548DD4" w:themeColor="text2" w:themeTint="99"/>
            <w:sz w:val="24"/>
            <w:szCs w:val="24"/>
          </w:rPr>
        </w:r>
        <w:r w:rsidR="002850A1" w:rsidRPr="002850A1">
          <w:rPr>
            <w:b/>
            <w:noProof/>
            <w:webHidden/>
            <w:color w:val="548DD4" w:themeColor="text2" w:themeTint="99"/>
            <w:sz w:val="24"/>
            <w:szCs w:val="24"/>
          </w:rPr>
          <w:fldChar w:fldCharType="separate"/>
        </w:r>
        <w:r w:rsidR="002850A1" w:rsidRPr="002850A1">
          <w:rPr>
            <w:b/>
            <w:noProof/>
            <w:webHidden/>
            <w:color w:val="548DD4" w:themeColor="text2" w:themeTint="99"/>
            <w:sz w:val="24"/>
            <w:szCs w:val="24"/>
          </w:rPr>
          <w:t>7</w:t>
        </w:r>
        <w:r w:rsidR="002850A1" w:rsidRPr="002850A1">
          <w:rPr>
            <w:b/>
            <w:noProof/>
            <w:webHidden/>
            <w:color w:val="548DD4" w:themeColor="text2" w:themeTint="99"/>
            <w:sz w:val="24"/>
            <w:szCs w:val="24"/>
          </w:rPr>
          <w:fldChar w:fldCharType="end"/>
        </w:r>
      </w:hyperlink>
    </w:p>
    <w:p w14:paraId="54C628F2" w14:textId="77777777" w:rsidR="002850A1" w:rsidRDefault="00786F7B" w:rsidP="002850A1">
      <w:pPr>
        <w:pStyle w:val="TOC1"/>
        <w:tabs>
          <w:tab w:val="left" w:pos="440"/>
          <w:tab w:val="right" w:leader="dot" w:pos="9486"/>
        </w:tabs>
        <w:spacing w:after="40" w:line="240" w:lineRule="auto"/>
        <w:rPr>
          <w:rFonts w:asciiTheme="minorHAnsi" w:eastAsiaTheme="minorEastAsia" w:hAnsiTheme="minorHAnsi" w:cstheme="minorBidi"/>
          <w:noProof/>
          <w:szCs w:val="22"/>
          <w:lang w:val="en-GB" w:eastAsia="en-GB"/>
        </w:rPr>
      </w:pPr>
      <w:hyperlink w:anchor="_Toc533261803" w:history="1">
        <w:r w:rsidR="002850A1" w:rsidRPr="004276A7">
          <w:rPr>
            <w:rStyle w:val="Hyperlink"/>
            <w:noProof/>
            <w:lang w:val="en-GB"/>
          </w:rPr>
          <w:t>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Background</w:t>
        </w:r>
        <w:r w:rsidR="002850A1">
          <w:rPr>
            <w:noProof/>
            <w:webHidden/>
          </w:rPr>
          <w:tab/>
        </w:r>
        <w:r w:rsidR="002850A1">
          <w:rPr>
            <w:noProof/>
            <w:webHidden/>
          </w:rPr>
          <w:fldChar w:fldCharType="begin"/>
        </w:r>
        <w:r w:rsidR="002850A1">
          <w:rPr>
            <w:noProof/>
            <w:webHidden/>
          </w:rPr>
          <w:instrText xml:space="preserve"> PAGEREF _Toc533261803 \h </w:instrText>
        </w:r>
        <w:r w:rsidR="002850A1">
          <w:rPr>
            <w:noProof/>
            <w:webHidden/>
          </w:rPr>
        </w:r>
        <w:r w:rsidR="002850A1">
          <w:rPr>
            <w:noProof/>
            <w:webHidden/>
          </w:rPr>
          <w:fldChar w:fldCharType="separate"/>
        </w:r>
        <w:r w:rsidR="002850A1">
          <w:rPr>
            <w:noProof/>
            <w:webHidden/>
          </w:rPr>
          <w:t>7</w:t>
        </w:r>
        <w:r w:rsidR="002850A1">
          <w:rPr>
            <w:noProof/>
            <w:webHidden/>
          </w:rPr>
          <w:fldChar w:fldCharType="end"/>
        </w:r>
      </w:hyperlink>
    </w:p>
    <w:p w14:paraId="511DAA9F" w14:textId="77777777" w:rsidR="002850A1" w:rsidRDefault="00786F7B" w:rsidP="002850A1">
      <w:pPr>
        <w:pStyle w:val="TOC1"/>
        <w:tabs>
          <w:tab w:val="left" w:pos="440"/>
          <w:tab w:val="right" w:leader="dot" w:pos="9486"/>
        </w:tabs>
        <w:spacing w:after="40" w:line="240" w:lineRule="auto"/>
        <w:rPr>
          <w:rFonts w:asciiTheme="minorHAnsi" w:eastAsiaTheme="minorEastAsia" w:hAnsiTheme="minorHAnsi" w:cstheme="minorBidi"/>
          <w:noProof/>
          <w:szCs w:val="22"/>
          <w:lang w:val="en-GB" w:eastAsia="en-GB"/>
        </w:rPr>
      </w:pPr>
      <w:hyperlink w:anchor="_Toc533261804" w:history="1">
        <w:r w:rsidR="002850A1" w:rsidRPr="004276A7">
          <w:rPr>
            <w:rStyle w:val="Hyperlink"/>
            <w:noProof/>
            <w:lang w:val="en-GB"/>
          </w:rPr>
          <w:t>2.</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Approach</w:t>
        </w:r>
        <w:r w:rsidR="002850A1">
          <w:rPr>
            <w:noProof/>
            <w:webHidden/>
          </w:rPr>
          <w:tab/>
        </w:r>
        <w:r w:rsidR="002850A1">
          <w:rPr>
            <w:noProof/>
            <w:webHidden/>
          </w:rPr>
          <w:fldChar w:fldCharType="begin"/>
        </w:r>
        <w:r w:rsidR="002850A1">
          <w:rPr>
            <w:noProof/>
            <w:webHidden/>
          </w:rPr>
          <w:instrText xml:space="preserve"> PAGEREF _Toc533261804 \h </w:instrText>
        </w:r>
        <w:r w:rsidR="002850A1">
          <w:rPr>
            <w:noProof/>
            <w:webHidden/>
          </w:rPr>
        </w:r>
        <w:r w:rsidR="002850A1">
          <w:rPr>
            <w:noProof/>
            <w:webHidden/>
          </w:rPr>
          <w:fldChar w:fldCharType="separate"/>
        </w:r>
        <w:r w:rsidR="002850A1">
          <w:rPr>
            <w:noProof/>
            <w:webHidden/>
          </w:rPr>
          <w:t>7</w:t>
        </w:r>
        <w:r w:rsidR="002850A1">
          <w:rPr>
            <w:noProof/>
            <w:webHidden/>
          </w:rPr>
          <w:fldChar w:fldCharType="end"/>
        </w:r>
      </w:hyperlink>
    </w:p>
    <w:p w14:paraId="7A278660" w14:textId="77777777" w:rsidR="002850A1" w:rsidRDefault="00786F7B" w:rsidP="002850A1">
      <w:pPr>
        <w:pStyle w:val="TOC1"/>
        <w:tabs>
          <w:tab w:val="left" w:pos="440"/>
          <w:tab w:val="right" w:leader="dot" w:pos="9486"/>
        </w:tabs>
        <w:spacing w:after="40" w:line="240" w:lineRule="auto"/>
        <w:rPr>
          <w:rFonts w:asciiTheme="minorHAnsi" w:eastAsiaTheme="minorEastAsia" w:hAnsiTheme="minorHAnsi" w:cstheme="minorBidi"/>
          <w:noProof/>
          <w:szCs w:val="22"/>
          <w:lang w:val="en-GB" w:eastAsia="en-GB"/>
        </w:rPr>
      </w:pPr>
      <w:hyperlink w:anchor="_Toc533261805" w:history="1">
        <w:r w:rsidR="002850A1" w:rsidRPr="004276A7">
          <w:rPr>
            <w:rStyle w:val="Hyperlink"/>
            <w:noProof/>
            <w:lang w:val="en-GB"/>
          </w:rPr>
          <w:t>3.</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Key findings</w:t>
        </w:r>
        <w:r w:rsidR="002850A1">
          <w:rPr>
            <w:noProof/>
            <w:webHidden/>
          </w:rPr>
          <w:tab/>
        </w:r>
        <w:r w:rsidR="002850A1">
          <w:rPr>
            <w:noProof/>
            <w:webHidden/>
          </w:rPr>
          <w:fldChar w:fldCharType="begin"/>
        </w:r>
        <w:r w:rsidR="002850A1">
          <w:rPr>
            <w:noProof/>
            <w:webHidden/>
          </w:rPr>
          <w:instrText xml:space="preserve"> PAGEREF _Toc533261805 \h </w:instrText>
        </w:r>
        <w:r w:rsidR="002850A1">
          <w:rPr>
            <w:noProof/>
            <w:webHidden/>
          </w:rPr>
        </w:r>
        <w:r w:rsidR="002850A1">
          <w:rPr>
            <w:noProof/>
            <w:webHidden/>
          </w:rPr>
          <w:fldChar w:fldCharType="separate"/>
        </w:r>
        <w:r w:rsidR="002850A1">
          <w:rPr>
            <w:noProof/>
            <w:webHidden/>
          </w:rPr>
          <w:t>7</w:t>
        </w:r>
        <w:r w:rsidR="002850A1">
          <w:rPr>
            <w:noProof/>
            <w:webHidden/>
          </w:rPr>
          <w:fldChar w:fldCharType="end"/>
        </w:r>
      </w:hyperlink>
    </w:p>
    <w:p w14:paraId="595B114D"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06" w:history="1">
        <w:r w:rsidR="002850A1" w:rsidRPr="004276A7">
          <w:rPr>
            <w:rStyle w:val="Hyperlink"/>
            <w:noProof/>
            <w:lang w:val="en-GB"/>
          </w:rPr>
          <w:t>3.1.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General on interoperability</w:t>
        </w:r>
        <w:r w:rsidR="002850A1">
          <w:rPr>
            <w:noProof/>
            <w:webHidden/>
          </w:rPr>
          <w:tab/>
        </w:r>
        <w:r w:rsidR="002850A1">
          <w:rPr>
            <w:noProof/>
            <w:webHidden/>
          </w:rPr>
          <w:fldChar w:fldCharType="begin"/>
        </w:r>
        <w:r w:rsidR="002850A1">
          <w:rPr>
            <w:noProof/>
            <w:webHidden/>
          </w:rPr>
          <w:instrText xml:space="preserve"> PAGEREF _Toc533261806 \h </w:instrText>
        </w:r>
        <w:r w:rsidR="002850A1">
          <w:rPr>
            <w:noProof/>
            <w:webHidden/>
          </w:rPr>
        </w:r>
        <w:r w:rsidR="002850A1">
          <w:rPr>
            <w:noProof/>
            <w:webHidden/>
          </w:rPr>
          <w:fldChar w:fldCharType="separate"/>
        </w:r>
        <w:r w:rsidR="002850A1">
          <w:rPr>
            <w:noProof/>
            <w:webHidden/>
          </w:rPr>
          <w:t>7</w:t>
        </w:r>
        <w:r w:rsidR="002850A1">
          <w:rPr>
            <w:noProof/>
            <w:webHidden/>
          </w:rPr>
          <w:fldChar w:fldCharType="end"/>
        </w:r>
      </w:hyperlink>
    </w:p>
    <w:p w14:paraId="15B39D8D"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07" w:history="1">
        <w:r w:rsidR="002850A1" w:rsidRPr="004276A7">
          <w:rPr>
            <w:rStyle w:val="Hyperlink"/>
            <w:noProof/>
            <w:lang w:val="en-GB"/>
          </w:rPr>
          <w:t>3.2.</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Existing services</w:t>
        </w:r>
        <w:r w:rsidR="002850A1">
          <w:rPr>
            <w:noProof/>
            <w:webHidden/>
          </w:rPr>
          <w:tab/>
        </w:r>
        <w:r w:rsidR="002850A1">
          <w:rPr>
            <w:noProof/>
            <w:webHidden/>
          </w:rPr>
          <w:fldChar w:fldCharType="begin"/>
        </w:r>
        <w:r w:rsidR="002850A1">
          <w:rPr>
            <w:noProof/>
            <w:webHidden/>
          </w:rPr>
          <w:instrText xml:space="preserve"> PAGEREF _Toc533261807 \h </w:instrText>
        </w:r>
        <w:r w:rsidR="002850A1">
          <w:rPr>
            <w:noProof/>
            <w:webHidden/>
          </w:rPr>
        </w:r>
        <w:r w:rsidR="002850A1">
          <w:rPr>
            <w:noProof/>
            <w:webHidden/>
          </w:rPr>
          <w:fldChar w:fldCharType="separate"/>
        </w:r>
        <w:r w:rsidR="002850A1">
          <w:rPr>
            <w:noProof/>
            <w:webHidden/>
          </w:rPr>
          <w:t>7</w:t>
        </w:r>
        <w:r w:rsidR="002850A1">
          <w:rPr>
            <w:noProof/>
            <w:webHidden/>
          </w:rPr>
          <w:fldChar w:fldCharType="end"/>
        </w:r>
      </w:hyperlink>
    </w:p>
    <w:p w14:paraId="26AFF740"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08" w:history="1">
        <w:r w:rsidR="002850A1" w:rsidRPr="004276A7">
          <w:rPr>
            <w:rStyle w:val="Hyperlink"/>
            <w:noProof/>
            <w:lang w:val="en-GB"/>
          </w:rPr>
          <w:t>3.2.1.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Billing</w:t>
        </w:r>
        <w:r w:rsidR="002850A1">
          <w:rPr>
            <w:noProof/>
            <w:webHidden/>
          </w:rPr>
          <w:tab/>
        </w:r>
        <w:r w:rsidR="002850A1">
          <w:rPr>
            <w:noProof/>
            <w:webHidden/>
          </w:rPr>
          <w:fldChar w:fldCharType="begin"/>
        </w:r>
        <w:r w:rsidR="002850A1">
          <w:rPr>
            <w:noProof/>
            <w:webHidden/>
          </w:rPr>
          <w:instrText xml:space="preserve"> PAGEREF _Toc533261808 \h </w:instrText>
        </w:r>
        <w:r w:rsidR="002850A1">
          <w:rPr>
            <w:noProof/>
            <w:webHidden/>
          </w:rPr>
        </w:r>
        <w:r w:rsidR="002850A1">
          <w:rPr>
            <w:noProof/>
            <w:webHidden/>
          </w:rPr>
          <w:fldChar w:fldCharType="separate"/>
        </w:r>
        <w:r w:rsidR="002850A1">
          <w:rPr>
            <w:noProof/>
            <w:webHidden/>
          </w:rPr>
          <w:t>7</w:t>
        </w:r>
        <w:r w:rsidR="002850A1">
          <w:rPr>
            <w:noProof/>
            <w:webHidden/>
          </w:rPr>
          <w:fldChar w:fldCharType="end"/>
        </w:r>
      </w:hyperlink>
    </w:p>
    <w:p w14:paraId="47AD2199" w14:textId="77777777" w:rsidR="002850A1" w:rsidRDefault="00786F7B" w:rsidP="002850A1">
      <w:pPr>
        <w:pStyle w:val="TOC4"/>
        <w:tabs>
          <w:tab w:val="left" w:pos="1760"/>
          <w:tab w:val="right" w:leader="dot" w:pos="9486"/>
        </w:tabs>
        <w:spacing w:after="40" w:line="240" w:lineRule="auto"/>
        <w:rPr>
          <w:rFonts w:asciiTheme="minorHAnsi" w:eastAsiaTheme="minorEastAsia" w:hAnsiTheme="minorHAnsi" w:cstheme="minorBidi"/>
          <w:noProof/>
          <w:szCs w:val="22"/>
          <w:lang w:val="en-GB" w:eastAsia="en-GB"/>
        </w:rPr>
      </w:pPr>
      <w:hyperlink w:anchor="_Toc533261809" w:history="1">
        <w:r w:rsidR="002850A1" w:rsidRPr="004276A7">
          <w:rPr>
            <w:rStyle w:val="Hyperlink"/>
            <w:noProof/>
          </w:rPr>
          <w:t>3.2.1.1.</w:t>
        </w:r>
        <w:r w:rsidR="002850A1">
          <w:rPr>
            <w:rFonts w:asciiTheme="minorHAnsi" w:eastAsiaTheme="minorEastAsia" w:hAnsiTheme="minorHAnsi" w:cstheme="minorBidi"/>
            <w:noProof/>
            <w:szCs w:val="22"/>
            <w:lang w:val="en-GB" w:eastAsia="en-GB"/>
          </w:rPr>
          <w:tab/>
        </w:r>
        <w:r w:rsidR="002850A1" w:rsidRPr="004276A7">
          <w:rPr>
            <w:rStyle w:val="Hyperlink"/>
            <w:noProof/>
          </w:rPr>
          <w:t>Subheading 1</w:t>
        </w:r>
        <w:r w:rsidR="002850A1">
          <w:rPr>
            <w:noProof/>
            <w:webHidden/>
          </w:rPr>
          <w:tab/>
        </w:r>
        <w:r w:rsidR="002850A1">
          <w:rPr>
            <w:noProof/>
            <w:webHidden/>
          </w:rPr>
          <w:fldChar w:fldCharType="begin"/>
        </w:r>
        <w:r w:rsidR="002850A1">
          <w:rPr>
            <w:noProof/>
            <w:webHidden/>
          </w:rPr>
          <w:instrText xml:space="preserve"> PAGEREF _Toc533261809 \h </w:instrText>
        </w:r>
        <w:r w:rsidR="002850A1">
          <w:rPr>
            <w:noProof/>
            <w:webHidden/>
          </w:rPr>
        </w:r>
        <w:r w:rsidR="002850A1">
          <w:rPr>
            <w:noProof/>
            <w:webHidden/>
          </w:rPr>
          <w:fldChar w:fldCharType="separate"/>
        </w:r>
        <w:r w:rsidR="002850A1">
          <w:rPr>
            <w:noProof/>
            <w:webHidden/>
          </w:rPr>
          <w:t>7</w:t>
        </w:r>
        <w:r w:rsidR="002850A1">
          <w:rPr>
            <w:noProof/>
            <w:webHidden/>
          </w:rPr>
          <w:fldChar w:fldCharType="end"/>
        </w:r>
      </w:hyperlink>
    </w:p>
    <w:p w14:paraId="57EED222"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10" w:history="1">
        <w:r w:rsidR="002850A1" w:rsidRPr="004276A7">
          <w:rPr>
            <w:rStyle w:val="Hyperlink"/>
            <w:noProof/>
            <w:lang w:val="en-GB"/>
          </w:rPr>
          <w:t>3.2.2.</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Change of supplier process</w:t>
        </w:r>
        <w:r w:rsidR="002850A1">
          <w:rPr>
            <w:noProof/>
            <w:webHidden/>
          </w:rPr>
          <w:tab/>
        </w:r>
        <w:r w:rsidR="002850A1">
          <w:rPr>
            <w:noProof/>
            <w:webHidden/>
          </w:rPr>
          <w:fldChar w:fldCharType="begin"/>
        </w:r>
        <w:r w:rsidR="002850A1">
          <w:rPr>
            <w:noProof/>
            <w:webHidden/>
          </w:rPr>
          <w:instrText xml:space="preserve"> PAGEREF _Toc533261810 \h </w:instrText>
        </w:r>
        <w:r w:rsidR="002850A1">
          <w:rPr>
            <w:noProof/>
            <w:webHidden/>
          </w:rPr>
        </w:r>
        <w:r w:rsidR="002850A1">
          <w:rPr>
            <w:noProof/>
            <w:webHidden/>
          </w:rPr>
          <w:fldChar w:fldCharType="separate"/>
        </w:r>
        <w:r w:rsidR="002850A1">
          <w:rPr>
            <w:noProof/>
            <w:webHidden/>
          </w:rPr>
          <w:t>7</w:t>
        </w:r>
        <w:r w:rsidR="002850A1">
          <w:rPr>
            <w:noProof/>
            <w:webHidden/>
          </w:rPr>
          <w:fldChar w:fldCharType="end"/>
        </w:r>
      </w:hyperlink>
    </w:p>
    <w:p w14:paraId="00003D3E" w14:textId="77777777" w:rsidR="002850A1" w:rsidRDefault="00786F7B" w:rsidP="002850A1">
      <w:pPr>
        <w:pStyle w:val="TOC4"/>
        <w:tabs>
          <w:tab w:val="left" w:pos="1760"/>
          <w:tab w:val="right" w:leader="dot" w:pos="9486"/>
        </w:tabs>
        <w:spacing w:after="40" w:line="240" w:lineRule="auto"/>
        <w:rPr>
          <w:rFonts w:asciiTheme="minorHAnsi" w:eastAsiaTheme="minorEastAsia" w:hAnsiTheme="minorHAnsi" w:cstheme="minorBidi"/>
          <w:noProof/>
          <w:szCs w:val="22"/>
          <w:lang w:val="en-GB" w:eastAsia="en-GB"/>
        </w:rPr>
      </w:pPr>
      <w:hyperlink w:anchor="_Toc533261811" w:history="1">
        <w:r w:rsidR="002850A1" w:rsidRPr="004276A7">
          <w:rPr>
            <w:rStyle w:val="Hyperlink"/>
            <w:noProof/>
          </w:rPr>
          <w:t>3.2.2.1.</w:t>
        </w:r>
        <w:r w:rsidR="002850A1">
          <w:rPr>
            <w:rFonts w:asciiTheme="minorHAnsi" w:eastAsiaTheme="minorEastAsia" w:hAnsiTheme="minorHAnsi" w:cstheme="minorBidi"/>
            <w:noProof/>
            <w:szCs w:val="22"/>
            <w:lang w:val="en-GB" w:eastAsia="en-GB"/>
          </w:rPr>
          <w:tab/>
        </w:r>
        <w:r w:rsidR="002850A1" w:rsidRPr="004276A7">
          <w:rPr>
            <w:rStyle w:val="Hyperlink"/>
            <w:noProof/>
          </w:rPr>
          <w:t>Subheading 1</w:t>
        </w:r>
        <w:r w:rsidR="002850A1">
          <w:rPr>
            <w:noProof/>
            <w:webHidden/>
          </w:rPr>
          <w:tab/>
        </w:r>
        <w:r w:rsidR="002850A1">
          <w:rPr>
            <w:noProof/>
            <w:webHidden/>
          </w:rPr>
          <w:fldChar w:fldCharType="begin"/>
        </w:r>
        <w:r w:rsidR="002850A1">
          <w:rPr>
            <w:noProof/>
            <w:webHidden/>
          </w:rPr>
          <w:instrText xml:space="preserve"> PAGEREF _Toc533261811 \h </w:instrText>
        </w:r>
        <w:r w:rsidR="002850A1">
          <w:rPr>
            <w:noProof/>
            <w:webHidden/>
          </w:rPr>
        </w:r>
        <w:r w:rsidR="002850A1">
          <w:rPr>
            <w:noProof/>
            <w:webHidden/>
          </w:rPr>
          <w:fldChar w:fldCharType="separate"/>
        </w:r>
        <w:r w:rsidR="002850A1">
          <w:rPr>
            <w:noProof/>
            <w:webHidden/>
          </w:rPr>
          <w:t>7</w:t>
        </w:r>
        <w:r w:rsidR="002850A1">
          <w:rPr>
            <w:noProof/>
            <w:webHidden/>
          </w:rPr>
          <w:fldChar w:fldCharType="end"/>
        </w:r>
      </w:hyperlink>
    </w:p>
    <w:p w14:paraId="243A33AA"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12" w:history="1">
        <w:r w:rsidR="002850A1" w:rsidRPr="004276A7">
          <w:rPr>
            <w:rStyle w:val="Hyperlink"/>
            <w:noProof/>
            <w:lang w:val="en-GB"/>
          </w:rPr>
          <w:t>3.3.</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Emerging services</w:t>
        </w:r>
        <w:r w:rsidR="002850A1">
          <w:rPr>
            <w:noProof/>
            <w:webHidden/>
          </w:rPr>
          <w:tab/>
        </w:r>
        <w:r w:rsidR="002850A1">
          <w:rPr>
            <w:noProof/>
            <w:webHidden/>
          </w:rPr>
          <w:fldChar w:fldCharType="begin"/>
        </w:r>
        <w:r w:rsidR="002850A1">
          <w:rPr>
            <w:noProof/>
            <w:webHidden/>
          </w:rPr>
          <w:instrText xml:space="preserve"> PAGEREF _Toc533261812 \h </w:instrText>
        </w:r>
        <w:r w:rsidR="002850A1">
          <w:rPr>
            <w:noProof/>
            <w:webHidden/>
          </w:rPr>
        </w:r>
        <w:r w:rsidR="002850A1">
          <w:rPr>
            <w:noProof/>
            <w:webHidden/>
          </w:rPr>
          <w:fldChar w:fldCharType="separate"/>
        </w:r>
        <w:r w:rsidR="002850A1">
          <w:rPr>
            <w:noProof/>
            <w:webHidden/>
          </w:rPr>
          <w:t>7</w:t>
        </w:r>
        <w:r w:rsidR="002850A1">
          <w:rPr>
            <w:noProof/>
            <w:webHidden/>
          </w:rPr>
          <w:fldChar w:fldCharType="end"/>
        </w:r>
      </w:hyperlink>
    </w:p>
    <w:p w14:paraId="67DCC6D1"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13" w:history="1">
        <w:r w:rsidR="002850A1" w:rsidRPr="004276A7">
          <w:rPr>
            <w:rStyle w:val="Hyperlink"/>
            <w:noProof/>
            <w:lang w:val="en-GB"/>
          </w:rPr>
          <w:t>3.3.1.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Subheading</w:t>
        </w:r>
        <w:r w:rsidR="002850A1">
          <w:rPr>
            <w:noProof/>
            <w:webHidden/>
          </w:rPr>
          <w:tab/>
        </w:r>
        <w:r w:rsidR="002850A1">
          <w:rPr>
            <w:noProof/>
            <w:webHidden/>
          </w:rPr>
          <w:fldChar w:fldCharType="begin"/>
        </w:r>
        <w:r w:rsidR="002850A1">
          <w:rPr>
            <w:noProof/>
            <w:webHidden/>
          </w:rPr>
          <w:instrText xml:space="preserve"> PAGEREF _Toc533261813 \h </w:instrText>
        </w:r>
        <w:r w:rsidR="002850A1">
          <w:rPr>
            <w:noProof/>
            <w:webHidden/>
          </w:rPr>
        </w:r>
        <w:r w:rsidR="002850A1">
          <w:rPr>
            <w:noProof/>
            <w:webHidden/>
          </w:rPr>
          <w:fldChar w:fldCharType="separate"/>
        </w:r>
        <w:r w:rsidR="002850A1">
          <w:rPr>
            <w:noProof/>
            <w:webHidden/>
          </w:rPr>
          <w:t>7</w:t>
        </w:r>
        <w:r w:rsidR="002850A1">
          <w:rPr>
            <w:noProof/>
            <w:webHidden/>
          </w:rPr>
          <w:fldChar w:fldCharType="end"/>
        </w:r>
      </w:hyperlink>
    </w:p>
    <w:p w14:paraId="1BC4212F"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14" w:history="1">
        <w:r w:rsidR="002850A1" w:rsidRPr="004276A7">
          <w:rPr>
            <w:rStyle w:val="Hyperlink"/>
            <w:noProof/>
            <w:lang w:val="en-GB"/>
          </w:rPr>
          <w:t>3.3.2.</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Subheading</w:t>
        </w:r>
        <w:r w:rsidR="002850A1">
          <w:rPr>
            <w:noProof/>
            <w:webHidden/>
          </w:rPr>
          <w:tab/>
        </w:r>
        <w:r w:rsidR="002850A1">
          <w:rPr>
            <w:noProof/>
            <w:webHidden/>
          </w:rPr>
          <w:fldChar w:fldCharType="begin"/>
        </w:r>
        <w:r w:rsidR="002850A1">
          <w:rPr>
            <w:noProof/>
            <w:webHidden/>
          </w:rPr>
          <w:instrText xml:space="preserve"> PAGEREF _Toc533261814 \h </w:instrText>
        </w:r>
        <w:r w:rsidR="002850A1">
          <w:rPr>
            <w:noProof/>
            <w:webHidden/>
          </w:rPr>
        </w:r>
        <w:r w:rsidR="002850A1">
          <w:rPr>
            <w:noProof/>
            <w:webHidden/>
          </w:rPr>
          <w:fldChar w:fldCharType="separate"/>
        </w:r>
        <w:r w:rsidR="002850A1">
          <w:rPr>
            <w:noProof/>
            <w:webHidden/>
          </w:rPr>
          <w:t>7</w:t>
        </w:r>
        <w:r w:rsidR="002850A1">
          <w:rPr>
            <w:noProof/>
            <w:webHidden/>
          </w:rPr>
          <w:fldChar w:fldCharType="end"/>
        </w:r>
      </w:hyperlink>
    </w:p>
    <w:p w14:paraId="4E39D912" w14:textId="77777777" w:rsidR="002850A1" w:rsidRDefault="00786F7B" w:rsidP="002850A1">
      <w:pPr>
        <w:pStyle w:val="TOC1"/>
        <w:tabs>
          <w:tab w:val="left" w:pos="440"/>
          <w:tab w:val="right" w:leader="dot" w:pos="9486"/>
        </w:tabs>
        <w:spacing w:after="40" w:line="240" w:lineRule="auto"/>
        <w:rPr>
          <w:rFonts w:asciiTheme="minorHAnsi" w:eastAsiaTheme="minorEastAsia" w:hAnsiTheme="minorHAnsi" w:cstheme="minorBidi"/>
          <w:noProof/>
          <w:szCs w:val="22"/>
          <w:lang w:val="en-GB" w:eastAsia="en-GB"/>
        </w:rPr>
      </w:pPr>
      <w:hyperlink w:anchor="_Toc533261815" w:history="1">
        <w:r w:rsidR="002850A1" w:rsidRPr="004276A7">
          <w:rPr>
            <w:rStyle w:val="Hyperlink"/>
            <w:noProof/>
            <w:lang w:val="en-GB"/>
          </w:rPr>
          <w:t>4.</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Recommendations</w:t>
        </w:r>
        <w:r w:rsidR="002850A1">
          <w:rPr>
            <w:noProof/>
            <w:webHidden/>
          </w:rPr>
          <w:tab/>
        </w:r>
        <w:r w:rsidR="002850A1">
          <w:rPr>
            <w:noProof/>
            <w:webHidden/>
          </w:rPr>
          <w:fldChar w:fldCharType="begin"/>
        </w:r>
        <w:r w:rsidR="002850A1">
          <w:rPr>
            <w:noProof/>
            <w:webHidden/>
          </w:rPr>
          <w:instrText xml:space="preserve"> PAGEREF _Toc533261815 \h </w:instrText>
        </w:r>
        <w:r w:rsidR="002850A1">
          <w:rPr>
            <w:noProof/>
            <w:webHidden/>
          </w:rPr>
        </w:r>
        <w:r w:rsidR="002850A1">
          <w:rPr>
            <w:noProof/>
            <w:webHidden/>
          </w:rPr>
          <w:fldChar w:fldCharType="separate"/>
        </w:r>
        <w:r w:rsidR="002850A1">
          <w:rPr>
            <w:noProof/>
            <w:webHidden/>
          </w:rPr>
          <w:t>8</w:t>
        </w:r>
        <w:r w:rsidR="002850A1">
          <w:rPr>
            <w:noProof/>
            <w:webHidden/>
          </w:rPr>
          <w:fldChar w:fldCharType="end"/>
        </w:r>
      </w:hyperlink>
    </w:p>
    <w:p w14:paraId="1C496EF1"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16" w:history="1">
        <w:r w:rsidR="002850A1" w:rsidRPr="004276A7">
          <w:rPr>
            <w:rStyle w:val="Hyperlink"/>
            <w:noProof/>
            <w:lang w:val="en-GB"/>
          </w:rPr>
          <w:t>4.1.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General on interoperability requirements and procedures</w:t>
        </w:r>
        <w:r w:rsidR="002850A1">
          <w:rPr>
            <w:noProof/>
            <w:webHidden/>
          </w:rPr>
          <w:tab/>
        </w:r>
        <w:r w:rsidR="002850A1">
          <w:rPr>
            <w:noProof/>
            <w:webHidden/>
          </w:rPr>
          <w:fldChar w:fldCharType="begin"/>
        </w:r>
        <w:r w:rsidR="002850A1">
          <w:rPr>
            <w:noProof/>
            <w:webHidden/>
          </w:rPr>
          <w:instrText xml:space="preserve"> PAGEREF _Toc533261816 \h </w:instrText>
        </w:r>
        <w:r w:rsidR="002850A1">
          <w:rPr>
            <w:noProof/>
            <w:webHidden/>
          </w:rPr>
        </w:r>
        <w:r w:rsidR="002850A1">
          <w:rPr>
            <w:noProof/>
            <w:webHidden/>
          </w:rPr>
          <w:fldChar w:fldCharType="separate"/>
        </w:r>
        <w:r w:rsidR="002850A1">
          <w:rPr>
            <w:noProof/>
            <w:webHidden/>
          </w:rPr>
          <w:t>8</w:t>
        </w:r>
        <w:r w:rsidR="002850A1">
          <w:rPr>
            <w:noProof/>
            <w:webHidden/>
          </w:rPr>
          <w:fldChar w:fldCharType="end"/>
        </w:r>
      </w:hyperlink>
    </w:p>
    <w:p w14:paraId="4831E081"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17" w:history="1">
        <w:r w:rsidR="002850A1" w:rsidRPr="004276A7">
          <w:rPr>
            <w:rStyle w:val="Hyperlink"/>
            <w:noProof/>
            <w:lang w:val="en-GB"/>
          </w:rPr>
          <w:t>4.1.1.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Business requirements shall be technology-neutral</w:t>
        </w:r>
        <w:r w:rsidR="002850A1">
          <w:rPr>
            <w:noProof/>
            <w:webHidden/>
          </w:rPr>
          <w:tab/>
        </w:r>
        <w:r w:rsidR="002850A1">
          <w:rPr>
            <w:noProof/>
            <w:webHidden/>
          </w:rPr>
          <w:fldChar w:fldCharType="begin"/>
        </w:r>
        <w:r w:rsidR="002850A1">
          <w:rPr>
            <w:noProof/>
            <w:webHidden/>
          </w:rPr>
          <w:instrText xml:space="preserve"> PAGEREF _Toc533261817 \h </w:instrText>
        </w:r>
        <w:r w:rsidR="002850A1">
          <w:rPr>
            <w:noProof/>
            <w:webHidden/>
          </w:rPr>
        </w:r>
        <w:r w:rsidR="002850A1">
          <w:rPr>
            <w:noProof/>
            <w:webHidden/>
          </w:rPr>
          <w:fldChar w:fldCharType="separate"/>
        </w:r>
        <w:r w:rsidR="002850A1">
          <w:rPr>
            <w:noProof/>
            <w:webHidden/>
          </w:rPr>
          <w:t>8</w:t>
        </w:r>
        <w:r w:rsidR="002850A1">
          <w:rPr>
            <w:noProof/>
            <w:webHidden/>
          </w:rPr>
          <w:fldChar w:fldCharType="end"/>
        </w:r>
      </w:hyperlink>
    </w:p>
    <w:p w14:paraId="3C7E7D3F"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18" w:history="1">
        <w:r w:rsidR="002850A1" w:rsidRPr="004276A7">
          <w:rPr>
            <w:rStyle w:val="Hyperlink"/>
            <w:noProof/>
            <w:lang w:val="en-GB"/>
          </w:rPr>
          <w:t>4.1.2.</w:t>
        </w:r>
        <w:r w:rsidR="002850A1">
          <w:rPr>
            <w:rFonts w:asciiTheme="minorHAnsi" w:eastAsiaTheme="minorEastAsia" w:hAnsiTheme="minorHAnsi" w:cstheme="minorBidi"/>
            <w:noProof/>
            <w:szCs w:val="22"/>
            <w:lang w:val="en-GB" w:eastAsia="en-GB"/>
          </w:rPr>
          <w:tab/>
        </w:r>
        <w:r w:rsidR="002850A1" w:rsidRPr="004276A7">
          <w:rPr>
            <w:rStyle w:val="Hyperlink"/>
            <w:noProof/>
          </w:rPr>
          <w:t>R05 Use a common approach focusing on the Business Layer leaving the implementation details for the System Level below to the Member State environment</w:t>
        </w:r>
        <w:r w:rsidR="002850A1">
          <w:rPr>
            <w:noProof/>
            <w:webHidden/>
          </w:rPr>
          <w:tab/>
        </w:r>
        <w:r w:rsidR="002850A1">
          <w:rPr>
            <w:noProof/>
            <w:webHidden/>
          </w:rPr>
          <w:fldChar w:fldCharType="begin"/>
        </w:r>
        <w:r w:rsidR="002850A1">
          <w:rPr>
            <w:noProof/>
            <w:webHidden/>
          </w:rPr>
          <w:instrText xml:space="preserve"> PAGEREF _Toc533261818 \h </w:instrText>
        </w:r>
        <w:r w:rsidR="002850A1">
          <w:rPr>
            <w:noProof/>
            <w:webHidden/>
          </w:rPr>
        </w:r>
        <w:r w:rsidR="002850A1">
          <w:rPr>
            <w:noProof/>
            <w:webHidden/>
          </w:rPr>
          <w:fldChar w:fldCharType="separate"/>
        </w:r>
        <w:r w:rsidR="002850A1">
          <w:rPr>
            <w:noProof/>
            <w:webHidden/>
          </w:rPr>
          <w:t>8</w:t>
        </w:r>
        <w:r w:rsidR="002850A1">
          <w:rPr>
            <w:noProof/>
            <w:webHidden/>
          </w:rPr>
          <w:fldChar w:fldCharType="end"/>
        </w:r>
      </w:hyperlink>
    </w:p>
    <w:p w14:paraId="5B979F32"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19" w:history="1">
        <w:r w:rsidR="002850A1" w:rsidRPr="004276A7">
          <w:rPr>
            <w:rStyle w:val="Hyperlink"/>
            <w:noProof/>
            <w:lang w:val="en-GB"/>
          </w:rPr>
          <w:t>4.1.3.</w:t>
        </w:r>
        <w:r w:rsidR="002850A1">
          <w:rPr>
            <w:rFonts w:asciiTheme="minorHAnsi" w:eastAsiaTheme="minorEastAsia" w:hAnsiTheme="minorHAnsi" w:cstheme="minorBidi"/>
            <w:noProof/>
            <w:szCs w:val="22"/>
            <w:lang w:val="en-GB" w:eastAsia="en-GB"/>
          </w:rPr>
          <w:tab/>
        </w:r>
        <w:r w:rsidR="002850A1" w:rsidRPr="004276A7">
          <w:rPr>
            <w:rStyle w:val="Hyperlink"/>
            <w:noProof/>
          </w:rPr>
          <w:t>When selecting reference models (SGAM, Common Information Model, Common Role Model, etc.), make sure the bodies developing and maintaining them are representing all relevant Market Participants and stakeholders</w:t>
        </w:r>
        <w:r w:rsidR="002850A1">
          <w:rPr>
            <w:noProof/>
            <w:webHidden/>
          </w:rPr>
          <w:tab/>
        </w:r>
        <w:r w:rsidR="002850A1">
          <w:rPr>
            <w:noProof/>
            <w:webHidden/>
          </w:rPr>
          <w:fldChar w:fldCharType="begin"/>
        </w:r>
        <w:r w:rsidR="002850A1">
          <w:rPr>
            <w:noProof/>
            <w:webHidden/>
          </w:rPr>
          <w:instrText xml:space="preserve"> PAGEREF _Toc533261819 \h </w:instrText>
        </w:r>
        <w:r w:rsidR="002850A1">
          <w:rPr>
            <w:noProof/>
            <w:webHidden/>
          </w:rPr>
        </w:r>
        <w:r w:rsidR="002850A1">
          <w:rPr>
            <w:noProof/>
            <w:webHidden/>
          </w:rPr>
          <w:fldChar w:fldCharType="separate"/>
        </w:r>
        <w:r w:rsidR="002850A1">
          <w:rPr>
            <w:noProof/>
            <w:webHidden/>
          </w:rPr>
          <w:t>10</w:t>
        </w:r>
        <w:r w:rsidR="002850A1">
          <w:rPr>
            <w:noProof/>
            <w:webHidden/>
          </w:rPr>
          <w:fldChar w:fldCharType="end"/>
        </w:r>
      </w:hyperlink>
    </w:p>
    <w:p w14:paraId="62C31BAD" w14:textId="5AE4B610"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20" w:history="1">
        <w:r w:rsidR="002850A1" w:rsidRPr="004276A7">
          <w:rPr>
            <w:rStyle w:val="Hyperlink"/>
            <w:noProof/>
            <w:lang w:val="en-GB"/>
          </w:rPr>
          <w:t>4.1.4.</w:t>
        </w:r>
        <w:r w:rsidR="002850A1">
          <w:rPr>
            <w:rFonts w:asciiTheme="minorHAnsi" w:eastAsiaTheme="minorEastAsia" w:hAnsiTheme="minorHAnsi" w:cstheme="minorBidi"/>
            <w:noProof/>
            <w:szCs w:val="22"/>
            <w:lang w:val="en-GB" w:eastAsia="en-GB"/>
          </w:rPr>
          <w:tab/>
        </w:r>
        <w:r w:rsidR="002850A1" w:rsidRPr="004276A7">
          <w:rPr>
            <w:rStyle w:val="Hyperlink"/>
            <w:noProof/>
          </w:rPr>
          <w:t>The question of whether to use a centralised or decentralised data management model is considered part of the System Layer and Interoperability can be established in and between both scenarios</w:t>
        </w:r>
        <w:r w:rsidR="002850A1">
          <w:rPr>
            <w:noProof/>
            <w:webHidden/>
          </w:rPr>
          <w:tab/>
          <w:t xml:space="preserve">………………………………………………………………………………………………………………………………………… </w:t>
        </w:r>
        <w:r w:rsidR="002850A1">
          <w:rPr>
            <w:noProof/>
            <w:webHidden/>
          </w:rPr>
          <w:fldChar w:fldCharType="begin"/>
        </w:r>
        <w:r w:rsidR="002850A1">
          <w:rPr>
            <w:noProof/>
            <w:webHidden/>
          </w:rPr>
          <w:instrText xml:space="preserve"> PAGEREF _Toc533261820 \h </w:instrText>
        </w:r>
        <w:r w:rsidR="002850A1">
          <w:rPr>
            <w:noProof/>
            <w:webHidden/>
          </w:rPr>
        </w:r>
        <w:r w:rsidR="002850A1">
          <w:rPr>
            <w:noProof/>
            <w:webHidden/>
          </w:rPr>
          <w:fldChar w:fldCharType="separate"/>
        </w:r>
        <w:r w:rsidR="002850A1">
          <w:rPr>
            <w:noProof/>
            <w:webHidden/>
          </w:rPr>
          <w:t>11</w:t>
        </w:r>
        <w:r w:rsidR="002850A1">
          <w:rPr>
            <w:noProof/>
            <w:webHidden/>
          </w:rPr>
          <w:fldChar w:fldCharType="end"/>
        </w:r>
      </w:hyperlink>
    </w:p>
    <w:p w14:paraId="7209A5DE"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21" w:history="1">
        <w:r w:rsidR="002850A1" w:rsidRPr="004276A7">
          <w:rPr>
            <w:rStyle w:val="Hyperlink"/>
            <w:noProof/>
            <w:lang w:val="en-GB"/>
          </w:rPr>
          <w:t>4.2.</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Specific recommendations to existing services</w:t>
        </w:r>
        <w:r w:rsidR="002850A1">
          <w:rPr>
            <w:noProof/>
            <w:webHidden/>
          </w:rPr>
          <w:tab/>
        </w:r>
        <w:r w:rsidR="002850A1">
          <w:rPr>
            <w:noProof/>
            <w:webHidden/>
          </w:rPr>
          <w:fldChar w:fldCharType="begin"/>
        </w:r>
        <w:r w:rsidR="002850A1">
          <w:rPr>
            <w:noProof/>
            <w:webHidden/>
          </w:rPr>
          <w:instrText xml:space="preserve"> PAGEREF _Toc533261821 \h </w:instrText>
        </w:r>
        <w:r w:rsidR="002850A1">
          <w:rPr>
            <w:noProof/>
            <w:webHidden/>
          </w:rPr>
        </w:r>
        <w:r w:rsidR="002850A1">
          <w:rPr>
            <w:noProof/>
            <w:webHidden/>
          </w:rPr>
          <w:fldChar w:fldCharType="separate"/>
        </w:r>
        <w:r w:rsidR="002850A1">
          <w:rPr>
            <w:noProof/>
            <w:webHidden/>
          </w:rPr>
          <w:t>13</w:t>
        </w:r>
        <w:r w:rsidR="002850A1">
          <w:rPr>
            <w:noProof/>
            <w:webHidden/>
          </w:rPr>
          <w:fldChar w:fldCharType="end"/>
        </w:r>
      </w:hyperlink>
    </w:p>
    <w:p w14:paraId="772D36AC"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22" w:history="1">
        <w:r w:rsidR="002850A1" w:rsidRPr="004276A7">
          <w:rPr>
            <w:rStyle w:val="Hyperlink"/>
            <w:noProof/>
            <w:lang w:val="en-GB"/>
          </w:rPr>
          <w:t>4.2.1.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Billing</w:t>
        </w:r>
        <w:r w:rsidR="002850A1">
          <w:rPr>
            <w:noProof/>
            <w:webHidden/>
          </w:rPr>
          <w:tab/>
        </w:r>
        <w:r w:rsidR="002850A1">
          <w:rPr>
            <w:noProof/>
            <w:webHidden/>
          </w:rPr>
          <w:fldChar w:fldCharType="begin"/>
        </w:r>
        <w:r w:rsidR="002850A1">
          <w:rPr>
            <w:noProof/>
            <w:webHidden/>
          </w:rPr>
          <w:instrText xml:space="preserve"> PAGEREF _Toc533261822 \h </w:instrText>
        </w:r>
        <w:r w:rsidR="002850A1">
          <w:rPr>
            <w:noProof/>
            <w:webHidden/>
          </w:rPr>
        </w:r>
        <w:r w:rsidR="002850A1">
          <w:rPr>
            <w:noProof/>
            <w:webHidden/>
          </w:rPr>
          <w:fldChar w:fldCharType="separate"/>
        </w:r>
        <w:r w:rsidR="002850A1">
          <w:rPr>
            <w:noProof/>
            <w:webHidden/>
          </w:rPr>
          <w:t>13</w:t>
        </w:r>
        <w:r w:rsidR="002850A1">
          <w:rPr>
            <w:noProof/>
            <w:webHidden/>
          </w:rPr>
          <w:fldChar w:fldCharType="end"/>
        </w:r>
      </w:hyperlink>
    </w:p>
    <w:p w14:paraId="1C975C72" w14:textId="77777777" w:rsidR="002850A1" w:rsidRDefault="00786F7B" w:rsidP="002850A1">
      <w:pPr>
        <w:pStyle w:val="TOC4"/>
        <w:tabs>
          <w:tab w:val="left" w:pos="1760"/>
          <w:tab w:val="right" w:leader="dot" w:pos="9486"/>
        </w:tabs>
        <w:spacing w:after="40" w:line="240" w:lineRule="auto"/>
        <w:rPr>
          <w:rFonts w:asciiTheme="minorHAnsi" w:eastAsiaTheme="minorEastAsia" w:hAnsiTheme="minorHAnsi" w:cstheme="minorBidi"/>
          <w:noProof/>
          <w:szCs w:val="22"/>
          <w:lang w:val="en-GB" w:eastAsia="en-GB"/>
        </w:rPr>
      </w:pPr>
      <w:hyperlink w:anchor="_Toc533261823" w:history="1">
        <w:r w:rsidR="002850A1" w:rsidRPr="004276A7">
          <w:rPr>
            <w:rStyle w:val="Hyperlink"/>
            <w:noProof/>
          </w:rPr>
          <w:t>4.2.1.1.</w:t>
        </w:r>
        <w:r w:rsidR="002850A1">
          <w:rPr>
            <w:rFonts w:asciiTheme="minorHAnsi" w:eastAsiaTheme="minorEastAsia" w:hAnsiTheme="minorHAnsi" w:cstheme="minorBidi"/>
            <w:noProof/>
            <w:szCs w:val="22"/>
            <w:lang w:val="en-GB" w:eastAsia="en-GB"/>
          </w:rPr>
          <w:tab/>
        </w:r>
        <w:r w:rsidR="002850A1" w:rsidRPr="004276A7">
          <w:rPr>
            <w:rStyle w:val="Hyperlink"/>
            <w:noProof/>
          </w:rPr>
          <w:t>Subheading 1</w:t>
        </w:r>
        <w:r w:rsidR="002850A1">
          <w:rPr>
            <w:noProof/>
            <w:webHidden/>
          </w:rPr>
          <w:tab/>
        </w:r>
        <w:r w:rsidR="002850A1">
          <w:rPr>
            <w:noProof/>
            <w:webHidden/>
          </w:rPr>
          <w:fldChar w:fldCharType="begin"/>
        </w:r>
        <w:r w:rsidR="002850A1">
          <w:rPr>
            <w:noProof/>
            <w:webHidden/>
          </w:rPr>
          <w:instrText xml:space="preserve"> PAGEREF _Toc533261823 \h </w:instrText>
        </w:r>
        <w:r w:rsidR="002850A1">
          <w:rPr>
            <w:noProof/>
            <w:webHidden/>
          </w:rPr>
        </w:r>
        <w:r w:rsidR="002850A1">
          <w:rPr>
            <w:noProof/>
            <w:webHidden/>
          </w:rPr>
          <w:fldChar w:fldCharType="separate"/>
        </w:r>
        <w:r w:rsidR="002850A1">
          <w:rPr>
            <w:noProof/>
            <w:webHidden/>
          </w:rPr>
          <w:t>13</w:t>
        </w:r>
        <w:r w:rsidR="002850A1">
          <w:rPr>
            <w:noProof/>
            <w:webHidden/>
          </w:rPr>
          <w:fldChar w:fldCharType="end"/>
        </w:r>
      </w:hyperlink>
    </w:p>
    <w:p w14:paraId="75C253E8"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24" w:history="1">
        <w:r w:rsidR="002850A1" w:rsidRPr="004276A7">
          <w:rPr>
            <w:rStyle w:val="Hyperlink"/>
            <w:noProof/>
            <w:lang w:val="en-GB"/>
          </w:rPr>
          <w:t>4.2.2.</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Change of supplier process</w:t>
        </w:r>
        <w:r w:rsidR="002850A1">
          <w:rPr>
            <w:noProof/>
            <w:webHidden/>
          </w:rPr>
          <w:tab/>
        </w:r>
        <w:r w:rsidR="002850A1">
          <w:rPr>
            <w:noProof/>
            <w:webHidden/>
          </w:rPr>
          <w:fldChar w:fldCharType="begin"/>
        </w:r>
        <w:r w:rsidR="002850A1">
          <w:rPr>
            <w:noProof/>
            <w:webHidden/>
          </w:rPr>
          <w:instrText xml:space="preserve"> PAGEREF _Toc533261824 \h </w:instrText>
        </w:r>
        <w:r w:rsidR="002850A1">
          <w:rPr>
            <w:noProof/>
            <w:webHidden/>
          </w:rPr>
        </w:r>
        <w:r w:rsidR="002850A1">
          <w:rPr>
            <w:noProof/>
            <w:webHidden/>
          </w:rPr>
          <w:fldChar w:fldCharType="separate"/>
        </w:r>
        <w:r w:rsidR="002850A1">
          <w:rPr>
            <w:noProof/>
            <w:webHidden/>
          </w:rPr>
          <w:t>13</w:t>
        </w:r>
        <w:r w:rsidR="002850A1">
          <w:rPr>
            <w:noProof/>
            <w:webHidden/>
          </w:rPr>
          <w:fldChar w:fldCharType="end"/>
        </w:r>
      </w:hyperlink>
    </w:p>
    <w:p w14:paraId="3B19EAF6" w14:textId="77777777" w:rsidR="002850A1" w:rsidRDefault="00786F7B" w:rsidP="002850A1">
      <w:pPr>
        <w:pStyle w:val="TOC4"/>
        <w:tabs>
          <w:tab w:val="left" w:pos="1760"/>
          <w:tab w:val="right" w:leader="dot" w:pos="9486"/>
        </w:tabs>
        <w:spacing w:after="40" w:line="240" w:lineRule="auto"/>
        <w:rPr>
          <w:rFonts w:asciiTheme="minorHAnsi" w:eastAsiaTheme="minorEastAsia" w:hAnsiTheme="minorHAnsi" w:cstheme="minorBidi"/>
          <w:noProof/>
          <w:szCs w:val="22"/>
          <w:lang w:val="en-GB" w:eastAsia="en-GB"/>
        </w:rPr>
      </w:pPr>
      <w:hyperlink w:anchor="_Toc533261825" w:history="1">
        <w:r w:rsidR="002850A1" w:rsidRPr="004276A7">
          <w:rPr>
            <w:rStyle w:val="Hyperlink"/>
            <w:noProof/>
          </w:rPr>
          <w:t>4.2.2.1.</w:t>
        </w:r>
        <w:r w:rsidR="002850A1">
          <w:rPr>
            <w:rFonts w:asciiTheme="minorHAnsi" w:eastAsiaTheme="minorEastAsia" w:hAnsiTheme="minorHAnsi" w:cstheme="minorBidi"/>
            <w:noProof/>
            <w:szCs w:val="22"/>
            <w:lang w:val="en-GB" w:eastAsia="en-GB"/>
          </w:rPr>
          <w:tab/>
        </w:r>
        <w:r w:rsidR="002850A1" w:rsidRPr="004276A7">
          <w:rPr>
            <w:rStyle w:val="Hyperlink"/>
            <w:noProof/>
          </w:rPr>
          <w:t>Subheading 1</w:t>
        </w:r>
        <w:r w:rsidR="002850A1">
          <w:rPr>
            <w:noProof/>
            <w:webHidden/>
          </w:rPr>
          <w:tab/>
        </w:r>
        <w:r w:rsidR="002850A1">
          <w:rPr>
            <w:noProof/>
            <w:webHidden/>
          </w:rPr>
          <w:fldChar w:fldCharType="begin"/>
        </w:r>
        <w:r w:rsidR="002850A1">
          <w:rPr>
            <w:noProof/>
            <w:webHidden/>
          </w:rPr>
          <w:instrText xml:space="preserve"> PAGEREF _Toc533261825 \h </w:instrText>
        </w:r>
        <w:r w:rsidR="002850A1">
          <w:rPr>
            <w:noProof/>
            <w:webHidden/>
          </w:rPr>
        </w:r>
        <w:r w:rsidR="002850A1">
          <w:rPr>
            <w:noProof/>
            <w:webHidden/>
          </w:rPr>
          <w:fldChar w:fldCharType="separate"/>
        </w:r>
        <w:r w:rsidR="002850A1">
          <w:rPr>
            <w:noProof/>
            <w:webHidden/>
          </w:rPr>
          <w:t>13</w:t>
        </w:r>
        <w:r w:rsidR="002850A1">
          <w:rPr>
            <w:noProof/>
            <w:webHidden/>
          </w:rPr>
          <w:fldChar w:fldCharType="end"/>
        </w:r>
      </w:hyperlink>
    </w:p>
    <w:p w14:paraId="6C57A69F"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26" w:history="1">
        <w:r w:rsidR="002850A1" w:rsidRPr="004276A7">
          <w:rPr>
            <w:rStyle w:val="Hyperlink"/>
            <w:noProof/>
            <w:lang w:val="en-GB"/>
          </w:rPr>
          <w:t>4.3.</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Specific recommendations to emerging services</w:t>
        </w:r>
        <w:r w:rsidR="002850A1">
          <w:rPr>
            <w:noProof/>
            <w:webHidden/>
          </w:rPr>
          <w:tab/>
        </w:r>
        <w:r w:rsidR="002850A1">
          <w:rPr>
            <w:noProof/>
            <w:webHidden/>
          </w:rPr>
          <w:fldChar w:fldCharType="begin"/>
        </w:r>
        <w:r w:rsidR="002850A1">
          <w:rPr>
            <w:noProof/>
            <w:webHidden/>
          </w:rPr>
          <w:instrText xml:space="preserve"> PAGEREF _Toc533261826 \h </w:instrText>
        </w:r>
        <w:r w:rsidR="002850A1">
          <w:rPr>
            <w:noProof/>
            <w:webHidden/>
          </w:rPr>
        </w:r>
        <w:r w:rsidR="002850A1">
          <w:rPr>
            <w:noProof/>
            <w:webHidden/>
          </w:rPr>
          <w:fldChar w:fldCharType="separate"/>
        </w:r>
        <w:r w:rsidR="002850A1">
          <w:rPr>
            <w:noProof/>
            <w:webHidden/>
          </w:rPr>
          <w:t>13</w:t>
        </w:r>
        <w:r w:rsidR="002850A1">
          <w:rPr>
            <w:noProof/>
            <w:webHidden/>
          </w:rPr>
          <w:fldChar w:fldCharType="end"/>
        </w:r>
      </w:hyperlink>
    </w:p>
    <w:p w14:paraId="79A017FF" w14:textId="77777777" w:rsidR="002850A1" w:rsidRPr="002850A1" w:rsidRDefault="00786F7B" w:rsidP="002850A1">
      <w:pPr>
        <w:pStyle w:val="TOC1"/>
        <w:tabs>
          <w:tab w:val="right" w:leader="dot" w:pos="9486"/>
        </w:tabs>
        <w:spacing w:after="40" w:line="240" w:lineRule="auto"/>
        <w:rPr>
          <w:rFonts w:asciiTheme="minorHAnsi" w:eastAsiaTheme="minorEastAsia" w:hAnsiTheme="minorHAnsi" w:cstheme="minorBidi"/>
          <w:b/>
          <w:noProof/>
          <w:color w:val="548DD4" w:themeColor="text2" w:themeTint="99"/>
          <w:sz w:val="24"/>
          <w:szCs w:val="24"/>
          <w:lang w:val="en-GB" w:eastAsia="en-GB"/>
        </w:rPr>
      </w:pPr>
      <w:hyperlink w:anchor="_Toc533261827" w:history="1">
        <w:r w:rsidR="002850A1" w:rsidRPr="002850A1">
          <w:rPr>
            <w:rStyle w:val="Hyperlink"/>
            <w:b/>
            <w:noProof/>
            <w:color w:val="548DD4" w:themeColor="text2" w:themeTint="99"/>
            <w:sz w:val="24"/>
            <w:szCs w:val="24"/>
            <w:lang w:val="en-GB"/>
          </w:rPr>
          <w:t>Main report: findings from the EG1 investigation on this topic</w:t>
        </w:r>
        <w:r w:rsidR="002850A1" w:rsidRPr="002850A1">
          <w:rPr>
            <w:b/>
            <w:noProof/>
            <w:webHidden/>
            <w:color w:val="548DD4" w:themeColor="text2" w:themeTint="99"/>
            <w:sz w:val="24"/>
            <w:szCs w:val="24"/>
          </w:rPr>
          <w:tab/>
        </w:r>
        <w:r w:rsidR="002850A1" w:rsidRPr="002850A1">
          <w:rPr>
            <w:b/>
            <w:noProof/>
            <w:webHidden/>
            <w:color w:val="548DD4" w:themeColor="text2" w:themeTint="99"/>
            <w:sz w:val="24"/>
            <w:szCs w:val="24"/>
          </w:rPr>
          <w:fldChar w:fldCharType="begin"/>
        </w:r>
        <w:r w:rsidR="002850A1" w:rsidRPr="002850A1">
          <w:rPr>
            <w:b/>
            <w:noProof/>
            <w:webHidden/>
            <w:color w:val="548DD4" w:themeColor="text2" w:themeTint="99"/>
            <w:sz w:val="24"/>
            <w:szCs w:val="24"/>
          </w:rPr>
          <w:instrText xml:space="preserve"> PAGEREF _Toc533261827 \h </w:instrText>
        </w:r>
        <w:r w:rsidR="002850A1" w:rsidRPr="002850A1">
          <w:rPr>
            <w:b/>
            <w:noProof/>
            <w:webHidden/>
            <w:color w:val="548DD4" w:themeColor="text2" w:themeTint="99"/>
            <w:sz w:val="24"/>
            <w:szCs w:val="24"/>
          </w:rPr>
        </w:r>
        <w:r w:rsidR="002850A1" w:rsidRPr="002850A1">
          <w:rPr>
            <w:b/>
            <w:noProof/>
            <w:webHidden/>
            <w:color w:val="548DD4" w:themeColor="text2" w:themeTint="99"/>
            <w:sz w:val="24"/>
            <w:szCs w:val="24"/>
          </w:rPr>
          <w:fldChar w:fldCharType="separate"/>
        </w:r>
        <w:r w:rsidR="002850A1" w:rsidRPr="002850A1">
          <w:rPr>
            <w:b/>
            <w:noProof/>
            <w:webHidden/>
            <w:color w:val="548DD4" w:themeColor="text2" w:themeTint="99"/>
            <w:sz w:val="24"/>
            <w:szCs w:val="24"/>
          </w:rPr>
          <w:t>16</w:t>
        </w:r>
        <w:r w:rsidR="002850A1" w:rsidRPr="002850A1">
          <w:rPr>
            <w:b/>
            <w:noProof/>
            <w:webHidden/>
            <w:color w:val="548DD4" w:themeColor="text2" w:themeTint="99"/>
            <w:sz w:val="24"/>
            <w:szCs w:val="24"/>
          </w:rPr>
          <w:fldChar w:fldCharType="end"/>
        </w:r>
      </w:hyperlink>
    </w:p>
    <w:p w14:paraId="0DC5839B" w14:textId="77777777" w:rsidR="002850A1" w:rsidRDefault="00786F7B" w:rsidP="002850A1">
      <w:pPr>
        <w:pStyle w:val="TOC1"/>
        <w:tabs>
          <w:tab w:val="left" w:pos="440"/>
          <w:tab w:val="right" w:leader="dot" w:pos="9486"/>
        </w:tabs>
        <w:spacing w:after="40" w:line="240" w:lineRule="auto"/>
        <w:rPr>
          <w:rFonts w:asciiTheme="minorHAnsi" w:eastAsiaTheme="minorEastAsia" w:hAnsiTheme="minorHAnsi" w:cstheme="minorBidi"/>
          <w:noProof/>
          <w:szCs w:val="22"/>
          <w:lang w:val="en-GB" w:eastAsia="en-GB"/>
        </w:rPr>
      </w:pPr>
      <w:hyperlink w:anchor="_Toc533261828" w:history="1">
        <w:r w:rsidR="002850A1" w:rsidRPr="004276A7">
          <w:rPr>
            <w:rStyle w:val="Hyperlink"/>
            <w:noProof/>
            <w:lang w:val="en-GB"/>
          </w:rPr>
          <w:t>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Introduction</w:t>
        </w:r>
        <w:r w:rsidR="002850A1">
          <w:rPr>
            <w:noProof/>
            <w:webHidden/>
          </w:rPr>
          <w:tab/>
        </w:r>
        <w:r w:rsidR="002850A1">
          <w:rPr>
            <w:noProof/>
            <w:webHidden/>
          </w:rPr>
          <w:fldChar w:fldCharType="begin"/>
        </w:r>
        <w:r w:rsidR="002850A1">
          <w:rPr>
            <w:noProof/>
            <w:webHidden/>
          </w:rPr>
          <w:instrText xml:space="preserve"> PAGEREF _Toc533261828 \h </w:instrText>
        </w:r>
        <w:r w:rsidR="002850A1">
          <w:rPr>
            <w:noProof/>
            <w:webHidden/>
          </w:rPr>
        </w:r>
        <w:r w:rsidR="002850A1">
          <w:rPr>
            <w:noProof/>
            <w:webHidden/>
          </w:rPr>
          <w:fldChar w:fldCharType="separate"/>
        </w:r>
        <w:r w:rsidR="002850A1">
          <w:rPr>
            <w:noProof/>
            <w:webHidden/>
          </w:rPr>
          <w:t>16</w:t>
        </w:r>
        <w:r w:rsidR="002850A1">
          <w:rPr>
            <w:noProof/>
            <w:webHidden/>
          </w:rPr>
          <w:fldChar w:fldCharType="end"/>
        </w:r>
      </w:hyperlink>
    </w:p>
    <w:p w14:paraId="6D568F6C" w14:textId="77777777" w:rsidR="002850A1" w:rsidRDefault="00786F7B" w:rsidP="002850A1">
      <w:pPr>
        <w:pStyle w:val="TOC1"/>
        <w:tabs>
          <w:tab w:val="left" w:pos="440"/>
          <w:tab w:val="right" w:leader="dot" w:pos="9486"/>
        </w:tabs>
        <w:spacing w:after="40" w:line="240" w:lineRule="auto"/>
        <w:rPr>
          <w:rFonts w:asciiTheme="minorHAnsi" w:eastAsiaTheme="minorEastAsia" w:hAnsiTheme="minorHAnsi" w:cstheme="minorBidi"/>
          <w:noProof/>
          <w:szCs w:val="22"/>
          <w:lang w:val="en-GB" w:eastAsia="en-GB"/>
        </w:rPr>
      </w:pPr>
      <w:hyperlink w:anchor="_Toc533261829" w:history="1">
        <w:r w:rsidR="002850A1" w:rsidRPr="004276A7">
          <w:rPr>
            <w:rStyle w:val="Hyperlink"/>
            <w:noProof/>
            <w:lang w:val="en-GB"/>
          </w:rPr>
          <w:t>2.</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Approach</w:t>
        </w:r>
        <w:r w:rsidR="002850A1">
          <w:rPr>
            <w:noProof/>
            <w:webHidden/>
          </w:rPr>
          <w:tab/>
        </w:r>
        <w:r w:rsidR="002850A1">
          <w:rPr>
            <w:noProof/>
            <w:webHidden/>
          </w:rPr>
          <w:fldChar w:fldCharType="begin"/>
        </w:r>
        <w:r w:rsidR="002850A1">
          <w:rPr>
            <w:noProof/>
            <w:webHidden/>
          </w:rPr>
          <w:instrText xml:space="preserve"> PAGEREF _Toc533261829 \h </w:instrText>
        </w:r>
        <w:r w:rsidR="002850A1">
          <w:rPr>
            <w:noProof/>
            <w:webHidden/>
          </w:rPr>
        </w:r>
        <w:r w:rsidR="002850A1">
          <w:rPr>
            <w:noProof/>
            <w:webHidden/>
          </w:rPr>
          <w:fldChar w:fldCharType="separate"/>
        </w:r>
        <w:r w:rsidR="002850A1">
          <w:rPr>
            <w:noProof/>
            <w:webHidden/>
          </w:rPr>
          <w:t>16</w:t>
        </w:r>
        <w:r w:rsidR="002850A1">
          <w:rPr>
            <w:noProof/>
            <w:webHidden/>
          </w:rPr>
          <w:fldChar w:fldCharType="end"/>
        </w:r>
      </w:hyperlink>
    </w:p>
    <w:p w14:paraId="2CC91254" w14:textId="77777777" w:rsidR="002850A1" w:rsidRDefault="00786F7B" w:rsidP="002850A1">
      <w:pPr>
        <w:pStyle w:val="TOC1"/>
        <w:tabs>
          <w:tab w:val="left" w:pos="440"/>
          <w:tab w:val="right" w:leader="dot" w:pos="9486"/>
        </w:tabs>
        <w:spacing w:after="40" w:line="240" w:lineRule="auto"/>
        <w:rPr>
          <w:rFonts w:asciiTheme="minorHAnsi" w:eastAsiaTheme="minorEastAsia" w:hAnsiTheme="minorHAnsi" w:cstheme="minorBidi"/>
          <w:noProof/>
          <w:szCs w:val="22"/>
          <w:lang w:val="en-GB" w:eastAsia="en-GB"/>
        </w:rPr>
      </w:pPr>
      <w:hyperlink w:anchor="_Toc533261830" w:history="1">
        <w:r w:rsidR="002850A1" w:rsidRPr="004276A7">
          <w:rPr>
            <w:rStyle w:val="Hyperlink"/>
            <w:noProof/>
            <w:lang w:val="en-GB"/>
          </w:rPr>
          <w:t>3.</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Interoperability of energy services and data access and exchange</w:t>
        </w:r>
        <w:r w:rsidR="002850A1">
          <w:rPr>
            <w:noProof/>
            <w:webHidden/>
          </w:rPr>
          <w:tab/>
        </w:r>
        <w:r w:rsidR="002850A1">
          <w:rPr>
            <w:noProof/>
            <w:webHidden/>
          </w:rPr>
          <w:fldChar w:fldCharType="begin"/>
        </w:r>
        <w:r w:rsidR="002850A1">
          <w:rPr>
            <w:noProof/>
            <w:webHidden/>
          </w:rPr>
          <w:instrText xml:space="preserve"> PAGEREF _Toc533261830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38D0F02A"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31" w:history="1">
        <w:r w:rsidR="002850A1" w:rsidRPr="004276A7">
          <w:rPr>
            <w:rStyle w:val="Hyperlink"/>
            <w:noProof/>
            <w:lang w:val="en-GB"/>
          </w:rPr>
          <w:t>3.1.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General thoughts on interoperability</w:t>
        </w:r>
        <w:r w:rsidR="002850A1">
          <w:rPr>
            <w:noProof/>
            <w:webHidden/>
          </w:rPr>
          <w:tab/>
        </w:r>
        <w:r w:rsidR="002850A1">
          <w:rPr>
            <w:noProof/>
            <w:webHidden/>
          </w:rPr>
          <w:fldChar w:fldCharType="begin"/>
        </w:r>
        <w:r w:rsidR="002850A1">
          <w:rPr>
            <w:noProof/>
            <w:webHidden/>
          </w:rPr>
          <w:instrText xml:space="preserve"> PAGEREF _Toc533261831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429A5852"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32" w:history="1">
        <w:r w:rsidR="002850A1" w:rsidRPr="004276A7">
          <w:rPr>
            <w:rStyle w:val="Hyperlink"/>
            <w:noProof/>
            <w:lang w:val="en-GB"/>
          </w:rPr>
          <w:t>3.2.</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Approach to interoperability</w:t>
        </w:r>
        <w:r w:rsidR="002850A1">
          <w:rPr>
            <w:noProof/>
            <w:webHidden/>
          </w:rPr>
          <w:tab/>
        </w:r>
        <w:r w:rsidR="002850A1">
          <w:rPr>
            <w:noProof/>
            <w:webHidden/>
          </w:rPr>
          <w:fldChar w:fldCharType="begin"/>
        </w:r>
        <w:r w:rsidR="002850A1">
          <w:rPr>
            <w:noProof/>
            <w:webHidden/>
          </w:rPr>
          <w:instrText xml:space="preserve"> PAGEREF _Toc533261832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363B0C32"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33" w:history="1">
        <w:r w:rsidR="002850A1" w:rsidRPr="004276A7">
          <w:rPr>
            <w:rStyle w:val="Hyperlink"/>
            <w:noProof/>
            <w:lang w:val="en-GB"/>
          </w:rPr>
          <w:t>3.3.</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Reaching &amp; maintaining interoperability in specific processes/ Use Cases</w:t>
        </w:r>
        <w:r w:rsidR="002850A1">
          <w:rPr>
            <w:noProof/>
            <w:webHidden/>
          </w:rPr>
          <w:tab/>
        </w:r>
        <w:r w:rsidR="002850A1">
          <w:rPr>
            <w:noProof/>
            <w:webHidden/>
          </w:rPr>
          <w:fldChar w:fldCharType="begin"/>
        </w:r>
        <w:r w:rsidR="002850A1">
          <w:rPr>
            <w:noProof/>
            <w:webHidden/>
          </w:rPr>
          <w:instrText xml:space="preserve"> PAGEREF _Toc533261833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124F9BCE"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34" w:history="1">
        <w:r w:rsidR="002850A1" w:rsidRPr="004276A7">
          <w:rPr>
            <w:rStyle w:val="Hyperlink"/>
            <w:noProof/>
            <w:lang w:val="en-GB"/>
          </w:rPr>
          <w:t>3.4.</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Key findings</w:t>
        </w:r>
        <w:r w:rsidR="002850A1">
          <w:rPr>
            <w:noProof/>
            <w:webHidden/>
          </w:rPr>
          <w:tab/>
        </w:r>
        <w:r w:rsidR="002850A1">
          <w:rPr>
            <w:noProof/>
            <w:webHidden/>
          </w:rPr>
          <w:fldChar w:fldCharType="begin"/>
        </w:r>
        <w:r w:rsidR="002850A1">
          <w:rPr>
            <w:noProof/>
            <w:webHidden/>
          </w:rPr>
          <w:instrText xml:space="preserve"> PAGEREF _Toc533261834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1318E5CF"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35" w:history="1">
        <w:r w:rsidR="002850A1" w:rsidRPr="004276A7">
          <w:rPr>
            <w:rStyle w:val="Hyperlink"/>
            <w:noProof/>
            <w:lang w:val="en-GB"/>
          </w:rPr>
          <w:t>3.4.1.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Cost/benefit drivers</w:t>
        </w:r>
        <w:r w:rsidR="002850A1">
          <w:rPr>
            <w:noProof/>
            <w:webHidden/>
          </w:rPr>
          <w:tab/>
        </w:r>
        <w:r w:rsidR="002850A1">
          <w:rPr>
            <w:noProof/>
            <w:webHidden/>
          </w:rPr>
          <w:fldChar w:fldCharType="begin"/>
        </w:r>
        <w:r w:rsidR="002850A1">
          <w:rPr>
            <w:noProof/>
            <w:webHidden/>
          </w:rPr>
          <w:instrText xml:space="preserve"> PAGEREF _Toc533261835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3D3503FA"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36" w:history="1">
        <w:r w:rsidR="002850A1" w:rsidRPr="004276A7">
          <w:rPr>
            <w:rStyle w:val="Hyperlink"/>
            <w:noProof/>
            <w:lang w:val="en-GB"/>
          </w:rPr>
          <w:t>3.4.2.</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Interoperability over time - Governance</w:t>
        </w:r>
        <w:r w:rsidR="002850A1">
          <w:rPr>
            <w:noProof/>
            <w:webHidden/>
          </w:rPr>
          <w:tab/>
        </w:r>
        <w:r w:rsidR="002850A1">
          <w:rPr>
            <w:noProof/>
            <w:webHidden/>
          </w:rPr>
          <w:fldChar w:fldCharType="begin"/>
        </w:r>
        <w:r w:rsidR="002850A1">
          <w:rPr>
            <w:noProof/>
            <w:webHidden/>
          </w:rPr>
          <w:instrText xml:space="preserve"> PAGEREF _Toc533261836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35E65621"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37" w:history="1">
        <w:r w:rsidR="002850A1" w:rsidRPr="004276A7">
          <w:rPr>
            <w:rStyle w:val="Hyperlink"/>
            <w:noProof/>
            <w:lang w:val="en-GB"/>
          </w:rPr>
          <w:t>3.5.</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Recommendations</w:t>
        </w:r>
        <w:r w:rsidR="002850A1">
          <w:rPr>
            <w:noProof/>
            <w:webHidden/>
          </w:rPr>
          <w:tab/>
        </w:r>
        <w:r w:rsidR="002850A1">
          <w:rPr>
            <w:noProof/>
            <w:webHidden/>
          </w:rPr>
          <w:fldChar w:fldCharType="begin"/>
        </w:r>
        <w:r w:rsidR="002850A1">
          <w:rPr>
            <w:noProof/>
            <w:webHidden/>
          </w:rPr>
          <w:instrText xml:space="preserve"> PAGEREF _Toc533261837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6082EE54" w14:textId="77777777" w:rsidR="002850A1" w:rsidRDefault="00786F7B" w:rsidP="002850A1">
      <w:pPr>
        <w:pStyle w:val="TOC1"/>
        <w:tabs>
          <w:tab w:val="left" w:pos="440"/>
          <w:tab w:val="right" w:leader="dot" w:pos="9486"/>
        </w:tabs>
        <w:spacing w:after="40" w:line="240" w:lineRule="auto"/>
        <w:rPr>
          <w:rFonts w:asciiTheme="minorHAnsi" w:eastAsiaTheme="minorEastAsia" w:hAnsiTheme="minorHAnsi" w:cstheme="minorBidi"/>
          <w:noProof/>
          <w:szCs w:val="22"/>
          <w:lang w:val="en-GB" w:eastAsia="en-GB"/>
        </w:rPr>
      </w:pPr>
      <w:hyperlink w:anchor="_Toc533261838" w:history="1">
        <w:r w:rsidR="002850A1" w:rsidRPr="004276A7">
          <w:rPr>
            <w:rStyle w:val="Hyperlink"/>
            <w:noProof/>
            <w:lang w:val="en-GB"/>
          </w:rPr>
          <w:t>4.</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National practices regarding data access and exchange &amp; room for convergence</w:t>
        </w:r>
        <w:r w:rsidR="002850A1">
          <w:rPr>
            <w:noProof/>
            <w:webHidden/>
          </w:rPr>
          <w:tab/>
        </w:r>
        <w:r w:rsidR="002850A1">
          <w:rPr>
            <w:noProof/>
            <w:webHidden/>
          </w:rPr>
          <w:fldChar w:fldCharType="begin"/>
        </w:r>
        <w:r w:rsidR="002850A1">
          <w:rPr>
            <w:noProof/>
            <w:webHidden/>
          </w:rPr>
          <w:instrText xml:space="preserve"> PAGEREF _Toc533261838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19FDEB27"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43" w:history="1">
        <w:r w:rsidR="002850A1" w:rsidRPr="004276A7">
          <w:rPr>
            <w:rStyle w:val="Hyperlink"/>
            <w:noProof/>
            <w:lang w:val="en-GB"/>
          </w:rPr>
          <w:t>4.1.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Findings regarding the Billing Process</w:t>
        </w:r>
        <w:r w:rsidR="002850A1">
          <w:rPr>
            <w:noProof/>
            <w:webHidden/>
          </w:rPr>
          <w:tab/>
        </w:r>
        <w:r w:rsidR="002850A1">
          <w:rPr>
            <w:noProof/>
            <w:webHidden/>
          </w:rPr>
          <w:fldChar w:fldCharType="begin"/>
        </w:r>
        <w:r w:rsidR="002850A1">
          <w:rPr>
            <w:noProof/>
            <w:webHidden/>
          </w:rPr>
          <w:instrText xml:space="preserve"> PAGEREF _Toc533261843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3D32FA74"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44" w:history="1">
        <w:r w:rsidR="002850A1" w:rsidRPr="004276A7">
          <w:rPr>
            <w:rStyle w:val="Hyperlink"/>
            <w:noProof/>
            <w:lang w:val="en-GB"/>
          </w:rPr>
          <w:t>4.1.1.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Introduction &amp; purpose</w:t>
        </w:r>
        <w:r w:rsidR="002850A1">
          <w:rPr>
            <w:noProof/>
            <w:webHidden/>
          </w:rPr>
          <w:tab/>
        </w:r>
        <w:r w:rsidR="002850A1">
          <w:rPr>
            <w:noProof/>
            <w:webHidden/>
          </w:rPr>
          <w:fldChar w:fldCharType="begin"/>
        </w:r>
        <w:r w:rsidR="002850A1">
          <w:rPr>
            <w:noProof/>
            <w:webHidden/>
          </w:rPr>
          <w:instrText xml:space="preserve"> PAGEREF _Toc533261844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67BF1253"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45" w:history="1">
        <w:r w:rsidR="002850A1" w:rsidRPr="004276A7">
          <w:rPr>
            <w:rStyle w:val="Hyperlink"/>
            <w:noProof/>
            <w:lang w:val="en-GB"/>
          </w:rPr>
          <w:t>4.1.2.</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Different existing models</w:t>
        </w:r>
        <w:r w:rsidR="002850A1">
          <w:rPr>
            <w:noProof/>
            <w:webHidden/>
          </w:rPr>
          <w:tab/>
        </w:r>
        <w:r w:rsidR="002850A1">
          <w:rPr>
            <w:noProof/>
            <w:webHidden/>
          </w:rPr>
          <w:fldChar w:fldCharType="begin"/>
        </w:r>
        <w:r w:rsidR="002850A1">
          <w:rPr>
            <w:noProof/>
            <w:webHidden/>
          </w:rPr>
          <w:instrText xml:space="preserve"> PAGEREF _Toc533261845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282EE05B" w14:textId="77777777" w:rsidR="002850A1" w:rsidRDefault="00786F7B" w:rsidP="002850A1">
      <w:pPr>
        <w:pStyle w:val="TOC4"/>
        <w:tabs>
          <w:tab w:val="left" w:pos="1760"/>
          <w:tab w:val="right" w:leader="dot" w:pos="9486"/>
        </w:tabs>
        <w:spacing w:after="40" w:line="240" w:lineRule="auto"/>
        <w:rPr>
          <w:rFonts w:asciiTheme="minorHAnsi" w:eastAsiaTheme="minorEastAsia" w:hAnsiTheme="minorHAnsi" w:cstheme="minorBidi"/>
          <w:noProof/>
          <w:szCs w:val="22"/>
          <w:lang w:val="en-GB" w:eastAsia="en-GB"/>
        </w:rPr>
      </w:pPr>
      <w:hyperlink w:anchor="_Toc533261846" w:history="1">
        <w:r w:rsidR="002850A1" w:rsidRPr="004276A7">
          <w:rPr>
            <w:rStyle w:val="Hyperlink"/>
            <w:noProof/>
          </w:rPr>
          <w:t>4.1.2.1.</w:t>
        </w:r>
        <w:r w:rsidR="002850A1">
          <w:rPr>
            <w:rFonts w:asciiTheme="minorHAnsi" w:eastAsiaTheme="minorEastAsia" w:hAnsiTheme="minorHAnsi" w:cstheme="minorBidi"/>
            <w:noProof/>
            <w:szCs w:val="22"/>
            <w:lang w:val="en-GB" w:eastAsia="en-GB"/>
          </w:rPr>
          <w:tab/>
        </w:r>
        <w:r w:rsidR="002850A1" w:rsidRPr="004276A7">
          <w:rPr>
            <w:rStyle w:val="Hyperlink"/>
            <w:noProof/>
          </w:rPr>
          <w:t>Subheading 1</w:t>
        </w:r>
        <w:r w:rsidR="002850A1">
          <w:rPr>
            <w:noProof/>
            <w:webHidden/>
          </w:rPr>
          <w:tab/>
        </w:r>
        <w:r w:rsidR="002850A1">
          <w:rPr>
            <w:noProof/>
            <w:webHidden/>
          </w:rPr>
          <w:fldChar w:fldCharType="begin"/>
        </w:r>
        <w:r w:rsidR="002850A1">
          <w:rPr>
            <w:noProof/>
            <w:webHidden/>
          </w:rPr>
          <w:instrText xml:space="preserve"> PAGEREF _Toc533261846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2961D39C" w14:textId="77777777" w:rsidR="002850A1" w:rsidRDefault="00786F7B" w:rsidP="002850A1">
      <w:pPr>
        <w:pStyle w:val="TOC4"/>
        <w:tabs>
          <w:tab w:val="left" w:pos="1760"/>
          <w:tab w:val="right" w:leader="dot" w:pos="9486"/>
        </w:tabs>
        <w:spacing w:after="40" w:line="240" w:lineRule="auto"/>
        <w:rPr>
          <w:rFonts w:asciiTheme="minorHAnsi" w:eastAsiaTheme="minorEastAsia" w:hAnsiTheme="minorHAnsi" w:cstheme="minorBidi"/>
          <w:noProof/>
          <w:szCs w:val="22"/>
          <w:lang w:val="en-GB" w:eastAsia="en-GB"/>
        </w:rPr>
      </w:pPr>
      <w:hyperlink w:anchor="_Toc533261847" w:history="1">
        <w:r w:rsidR="002850A1" w:rsidRPr="004276A7">
          <w:rPr>
            <w:rStyle w:val="Hyperlink"/>
            <w:noProof/>
          </w:rPr>
          <w:t>4.1.2.2.</w:t>
        </w:r>
        <w:r w:rsidR="002850A1">
          <w:rPr>
            <w:rFonts w:asciiTheme="minorHAnsi" w:eastAsiaTheme="minorEastAsia" w:hAnsiTheme="minorHAnsi" w:cstheme="minorBidi"/>
            <w:noProof/>
            <w:szCs w:val="22"/>
            <w:lang w:val="en-GB" w:eastAsia="en-GB"/>
          </w:rPr>
          <w:tab/>
        </w:r>
        <w:r w:rsidR="002850A1" w:rsidRPr="004276A7">
          <w:rPr>
            <w:rStyle w:val="Hyperlink"/>
            <w:noProof/>
          </w:rPr>
          <w:t>Subheading 1</w:t>
        </w:r>
        <w:r w:rsidR="002850A1">
          <w:rPr>
            <w:noProof/>
            <w:webHidden/>
          </w:rPr>
          <w:tab/>
        </w:r>
        <w:r w:rsidR="002850A1">
          <w:rPr>
            <w:noProof/>
            <w:webHidden/>
          </w:rPr>
          <w:fldChar w:fldCharType="begin"/>
        </w:r>
        <w:r w:rsidR="002850A1">
          <w:rPr>
            <w:noProof/>
            <w:webHidden/>
          </w:rPr>
          <w:instrText xml:space="preserve"> PAGEREF _Toc533261847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28FFC544" w14:textId="77777777" w:rsidR="002850A1" w:rsidRDefault="00786F7B" w:rsidP="002850A1">
      <w:pPr>
        <w:pStyle w:val="TOC4"/>
        <w:tabs>
          <w:tab w:val="left" w:pos="1760"/>
          <w:tab w:val="right" w:leader="dot" w:pos="9486"/>
        </w:tabs>
        <w:spacing w:after="40" w:line="240" w:lineRule="auto"/>
        <w:rPr>
          <w:rFonts w:asciiTheme="minorHAnsi" w:eastAsiaTheme="minorEastAsia" w:hAnsiTheme="minorHAnsi" w:cstheme="minorBidi"/>
          <w:noProof/>
          <w:szCs w:val="22"/>
          <w:lang w:val="en-GB" w:eastAsia="en-GB"/>
        </w:rPr>
      </w:pPr>
      <w:hyperlink w:anchor="_Toc533261848" w:history="1">
        <w:r w:rsidR="002850A1" w:rsidRPr="004276A7">
          <w:rPr>
            <w:rStyle w:val="Hyperlink"/>
            <w:noProof/>
          </w:rPr>
          <w:t>4.1.2.3.</w:t>
        </w:r>
        <w:r w:rsidR="002850A1">
          <w:rPr>
            <w:rFonts w:asciiTheme="minorHAnsi" w:eastAsiaTheme="minorEastAsia" w:hAnsiTheme="minorHAnsi" w:cstheme="minorBidi"/>
            <w:noProof/>
            <w:szCs w:val="22"/>
            <w:lang w:val="en-GB" w:eastAsia="en-GB"/>
          </w:rPr>
          <w:tab/>
        </w:r>
        <w:r w:rsidR="002850A1" w:rsidRPr="004276A7">
          <w:rPr>
            <w:rStyle w:val="Hyperlink"/>
            <w:noProof/>
          </w:rPr>
          <w:t>Subheading 1</w:t>
        </w:r>
        <w:r w:rsidR="002850A1">
          <w:rPr>
            <w:noProof/>
            <w:webHidden/>
          </w:rPr>
          <w:tab/>
        </w:r>
        <w:r w:rsidR="002850A1">
          <w:rPr>
            <w:noProof/>
            <w:webHidden/>
          </w:rPr>
          <w:fldChar w:fldCharType="begin"/>
        </w:r>
        <w:r w:rsidR="002850A1">
          <w:rPr>
            <w:noProof/>
            <w:webHidden/>
          </w:rPr>
          <w:instrText xml:space="preserve"> PAGEREF _Toc533261848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773F8104"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49" w:history="1">
        <w:r w:rsidR="002850A1" w:rsidRPr="004276A7">
          <w:rPr>
            <w:rStyle w:val="Hyperlink"/>
            <w:noProof/>
            <w:lang w:val="en-GB"/>
          </w:rPr>
          <w:t>4.1.3.</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Conclusions on billing process</w:t>
        </w:r>
        <w:r w:rsidR="002850A1">
          <w:rPr>
            <w:noProof/>
            <w:webHidden/>
          </w:rPr>
          <w:tab/>
        </w:r>
        <w:r w:rsidR="002850A1">
          <w:rPr>
            <w:noProof/>
            <w:webHidden/>
          </w:rPr>
          <w:fldChar w:fldCharType="begin"/>
        </w:r>
        <w:r w:rsidR="002850A1">
          <w:rPr>
            <w:noProof/>
            <w:webHidden/>
          </w:rPr>
          <w:instrText xml:space="preserve"> PAGEREF _Toc533261849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5A4562F3"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50" w:history="1">
        <w:r w:rsidR="002850A1" w:rsidRPr="004276A7">
          <w:rPr>
            <w:rStyle w:val="Hyperlink"/>
            <w:noProof/>
            <w:lang w:val="en-GB"/>
          </w:rPr>
          <w:t>4.2.</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Findings regarding the Change of Supplier Process</w:t>
        </w:r>
        <w:r w:rsidR="002850A1">
          <w:rPr>
            <w:noProof/>
            <w:webHidden/>
          </w:rPr>
          <w:tab/>
        </w:r>
        <w:r w:rsidR="002850A1">
          <w:rPr>
            <w:noProof/>
            <w:webHidden/>
          </w:rPr>
          <w:fldChar w:fldCharType="begin"/>
        </w:r>
        <w:r w:rsidR="002850A1">
          <w:rPr>
            <w:noProof/>
            <w:webHidden/>
          </w:rPr>
          <w:instrText xml:space="preserve"> PAGEREF _Toc533261850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32F1DEB8"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51" w:history="1">
        <w:r w:rsidR="002850A1" w:rsidRPr="004276A7">
          <w:rPr>
            <w:rStyle w:val="Hyperlink"/>
            <w:noProof/>
            <w:lang w:val="en-GB"/>
          </w:rPr>
          <w:t>4.2.1.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Introduction &amp; purpose</w:t>
        </w:r>
        <w:r w:rsidR="002850A1">
          <w:rPr>
            <w:noProof/>
            <w:webHidden/>
          </w:rPr>
          <w:tab/>
        </w:r>
        <w:r w:rsidR="002850A1">
          <w:rPr>
            <w:noProof/>
            <w:webHidden/>
          </w:rPr>
          <w:fldChar w:fldCharType="begin"/>
        </w:r>
        <w:r w:rsidR="002850A1">
          <w:rPr>
            <w:noProof/>
            <w:webHidden/>
          </w:rPr>
          <w:instrText xml:space="preserve"> PAGEREF _Toc533261851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03F9F58A"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52" w:history="1">
        <w:r w:rsidR="002850A1" w:rsidRPr="004276A7">
          <w:rPr>
            <w:rStyle w:val="Hyperlink"/>
            <w:noProof/>
            <w:lang w:val="en-GB"/>
          </w:rPr>
          <w:t>4.2.2.</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Existing (data and role) models and procedures</w:t>
        </w:r>
        <w:r w:rsidR="002850A1">
          <w:rPr>
            <w:noProof/>
            <w:webHidden/>
          </w:rPr>
          <w:tab/>
        </w:r>
        <w:r w:rsidR="002850A1">
          <w:rPr>
            <w:noProof/>
            <w:webHidden/>
          </w:rPr>
          <w:fldChar w:fldCharType="begin"/>
        </w:r>
        <w:r w:rsidR="002850A1">
          <w:rPr>
            <w:noProof/>
            <w:webHidden/>
          </w:rPr>
          <w:instrText xml:space="preserve"> PAGEREF _Toc533261852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274D678E" w14:textId="77777777" w:rsidR="002850A1" w:rsidRDefault="00786F7B" w:rsidP="002850A1">
      <w:pPr>
        <w:pStyle w:val="TOC4"/>
        <w:tabs>
          <w:tab w:val="left" w:pos="1760"/>
          <w:tab w:val="right" w:leader="dot" w:pos="9486"/>
        </w:tabs>
        <w:spacing w:after="40" w:line="240" w:lineRule="auto"/>
        <w:rPr>
          <w:rFonts w:asciiTheme="minorHAnsi" w:eastAsiaTheme="minorEastAsia" w:hAnsiTheme="minorHAnsi" w:cstheme="minorBidi"/>
          <w:noProof/>
          <w:szCs w:val="22"/>
          <w:lang w:val="en-GB" w:eastAsia="en-GB"/>
        </w:rPr>
      </w:pPr>
      <w:hyperlink w:anchor="_Toc533261853" w:history="1">
        <w:r w:rsidR="002850A1" w:rsidRPr="004276A7">
          <w:rPr>
            <w:rStyle w:val="Hyperlink"/>
            <w:noProof/>
          </w:rPr>
          <w:t>4.2.2.1.</w:t>
        </w:r>
        <w:r w:rsidR="002850A1">
          <w:rPr>
            <w:rFonts w:asciiTheme="minorHAnsi" w:eastAsiaTheme="minorEastAsia" w:hAnsiTheme="minorHAnsi" w:cstheme="minorBidi"/>
            <w:noProof/>
            <w:szCs w:val="22"/>
            <w:lang w:val="en-GB" w:eastAsia="en-GB"/>
          </w:rPr>
          <w:tab/>
        </w:r>
        <w:r w:rsidR="002850A1" w:rsidRPr="004276A7">
          <w:rPr>
            <w:rStyle w:val="Hyperlink"/>
            <w:noProof/>
          </w:rPr>
          <w:t>Subheading 1</w:t>
        </w:r>
        <w:r w:rsidR="002850A1">
          <w:rPr>
            <w:noProof/>
            <w:webHidden/>
          </w:rPr>
          <w:tab/>
        </w:r>
        <w:r w:rsidR="002850A1">
          <w:rPr>
            <w:noProof/>
            <w:webHidden/>
          </w:rPr>
          <w:fldChar w:fldCharType="begin"/>
        </w:r>
        <w:r w:rsidR="002850A1">
          <w:rPr>
            <w:noProof/>
            <w:webHidden/>
          </w:rPr>
          <w:instrText xml:space="preserve"> PAGEREF _Toc533261853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5F8A83CE" w14:textId="77777777" w:rsidR="002850A1" w:rsidRDefault="00786F7B" w:rsidP="002850A1">
      <w:pPr>
        <w:pStyle w:val="TOC4"/>
        <w:tabs>
          <w:tab w:val="left" w:pos="1760"/>
          <w:tab w:val="right" w:leader="dot" w:pos="9486"/>
        </w:tabs>
        <w:spacing w:after="40" w:line="240" w:lineRule="auto"/>
        <w:rPr>
          <w:rFonts w:asciiTheme="minorHAnsi" w:eastAsiaTheme="minorEastAsia" w:hAnsiTheme="minorHAnsi" w:cstheme="minorBidi"/>
          <w:noProof/>
          <w:szCs w:val="22"/>
          <w:lang w:val="en-GB" w:eastAsia="en-GB"/>
        </w:rPr>
      </w:pPr>
      <w:hyperlink w:anchor="_Toc533261854" w:history="1">
        <w:r w:rsidR="002850A1" w:rsidRPr="004276A7">
          <w:rPr>
            <w:rStyle w:val="Hyperlink"/>
            <w:noProof/>
          </w:rPr>
          <w:t>4.2.2.2.</w:t>
        </w:r>
        <w:r w:rsidR="002850A1">
          <w:rPr>
            <w:rFonts w:asciiTheme="minorHAnsi" w:eastAsiaTheme="minorEastAsia" w:hAnsiTheme="minorHAnsi" w:cstheme="minorBidi"/>
            <w:noProof/>
            <w:szCs w:val="22"/>
            <w:lang w:val="en-GB" w:eastAsia="en-GB"/>
          </w:rPr>
          <w:tab/>
        </w:r>
        <w:r w:rsidR="002850A1" w:rsidRPr="004276A7">
          <w:rPr>
            <w:rStyle w:val="Hyperlink"/>
            <w:noProof/>
          </w:rPr>
          <w:t>Subheading 1</w:t>
        </w:r>
        <w:r w:rsidR="002850A1">
          <w:rPr>
            <w:noProof/>
            <w:webHidden/>
          </w:rPr>
          <w:tab/>
        </w:r>
        <w:r w:rsidR="002850A1">
          <w:rPr>
            <w:noProof/>
            <w:webHidden/>
          </w:rPr>
          <w:fldChar w:fldCharType="begin"/>
        </w:r>
        <w:r w:rsidR="002850A1">
          <w:rPr>
            <w:noProof/>
            <w:webHidden/>
          </w:rPr>
          <w:instrText xml:space="preserve"> PAGEREF _Toc533261854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5FEF7224" w14:textId="77777777" w:rsidR="002850A1" w:rsidRDefault="00786F7B" w:rsidP="002850A1">
      <w:pPr>
        <w:pStyle w:val="TOC4"/>
        <w:tabs>
          <w:tab w:val="left" w:pos="1760"/>
          <w:tab w:val="right" w:leader="dot" w:pos="9486"/>
        </w:tabs>
        <w:spacing w:after="40" w:line="240" w:lineRule="auto"/>
        <w:rPr>
          <w:rFonts w:asciiTheme="minorHAnsi" w:eastAsiaTheme="minorEastAsia" w:hAnsiTheme="minorHAnsi" w:cstheme="minorBidi"/>
          <w:noProof/>
          <w:szCs w:val="22"/>
          <w:lang w:val="en-GB" w:eastAsia="en-GB"/>
        </w:rPr>
      </w:pPr>
      <w:hyperlink w:anchor="_Toc533261855" w:history="1">
        <w:r w:rsidR="002850A1" w:rsidRPr="004276A7">
          <w:rPr>
            <w:rStyle w:val="Hyperlink"/>
            <w:noProof/>
          </w:rPr>
          <w:t>4.2.2.3.</w:t>
        </w:r>
        <w:r w:rsidR="002850A1">
          <w:rPr>
            <w:rFonts w:asciiTheme="minorHAnsi" w:eastAsiaTheme="minorEastAsia" w:hAnsiTheme="minorHAnsi" w:cstheme="minorBidi"/>
            <w:noProof/>
            <w:szCs w:val="22"/>
            <w:lang w:val="en-GB" w:eastAsia="en-GB"/>
          </w:rPr>
          <w:tab/>
        </w:r>
        <w:r w:rsidR="002850A1" w:rsidRPr="004276A7">
          <w:rPr>
            <w:rStyle w:val="Hyperlink"/>
            <w:noProof/>
          </w:rPr>
          <w:t>Subheading 1</w:t>
        </w:r>
        <w:r w:rsidR="002850A1">
          <w:rPr>
            <w:noProof/>
            <w:webHidden/>
          </w:rPr>
          <w:tab/>
        </w:r>
        <w:r w:rsidR="002850A1">
          <w:rPr>
            <w:noProof/>
            <w:webHidden/>
          </w:rPr>
          <w:fldChar w:fldCharType="begin"/>
        </w:r>
        <w:r w:rsidR="002850A1">
          <w:rPr>
            <w:noProof/>
            <w:webHidden/>
          </w:rPr>
          <w:instrText xml:space="preserve"> PAGEREF _Toc533261855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7FFAB607"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56" w:history="1">
        <w:r w:rsidR="002850A1" w:rsidRPr="004276A7">
          <w:rPr>
            <w:rStyle w:val="Hyperlink"/>
            <w:noProof/>
            <w:lang w:val="en-GB"/>
          </w:rPr>
          <w:t>4.2.3.</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Conclusions on change of supplier process</w:t>
        </w:r>
        <w:r w:rsidR="002850A1">
          <w:rPr>
            <w:noProof/>
            <w:webHidden/>
          </w:rPr>
          <w:tab/>
        </w:r>
        <w:r w:rsidR="002850A1">
          <w:rPr>
            <w:noProof/>
            <w:webHidden/>
          </w:rPr>
          <w:fldChar w:fldCharType="begin"/>
        </w:r>
        <w:r w:rsidR="002850A1">
          <w:rPr>
            <w:noProof/>
            <w:webHidden/>
          </w:rPr>
          <w:instrText xml:space="preserve"> PAGEREF _Toc533261856 \h </w:instrText>
        </w:r>
        <w:r w:rsidR="002850A1">
          <w:rPr>
            <w:noProof/>
            <w:webHidden/>
          </w:rPr>
        </w:r>
        <w:r w:rsidR="002850A1">
          <w:rPr>
            <w:noProof/>
            <w:webHidden/>
          </w:rPr>
          <w:fldChar w:fldCharType="separate"/>
        </w:r>
        <w:r w:rsidR="002850A1">
          <w:rPr>
            <w:noProof/>
            <w:webHidden/>
          </w:rPr>
          <w:t>18</w:t>
        </w:r>
        <w:r w:rsidR="002850A1">
          <w:rPr>
            <w:noProof/>
            <w:webHidden/>
          </w:rPr>
          <w:fldChar w:fldCharType="end"/>
        </w:r>
      </w:hyperlink>
    </w:p>
    <w:p w14:paraId="50261A69"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57" w:history="1">
        <w:r w:rsidR="002850A1" w:rsidRPr="004276A7">
          <w:rPr>
            <w:rStyle w:val="Hyperlink"/>
            <w:noProof/>
            <w:lang w:val="en-GB"/>
          </w:rPr>
          <w:t>4.3.</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Findings regarding Processes supporting New and Emerging Services</w:t>
        </w:r>
        <w:r w:rsidR="002850A1">
          <w:rPr>
            <w:noProof/>
            <w:webHidden/>
          </w:rPr>
          <w:tab/>
        </w:r>
        <w:r w:rsidR="002850A1">
          <w:rPr>
            <w:noProof/>
            <w:webHidden/>
          </w:rPr>
          <w:fldChar w:fldCharType="begin"/>
        </w:r>
        <w:r w:rsidR="002850A1">
          <w:rPr>
            <w:noProof/>
            <w:webHidden/>
          </w:rPr>
          <w:instrText xml:space="preserve"> PAGEREF _Toc533261857 \h </w:instrText>
        </w:r>
        <w:r w:rsidR="002850A1">
          <w:rPr>
            <w:noProof/>
            <w:webHidden/>
          </w:rPr>
        </w:r>
        <w:r w:rsidR="002850A1">
          <w:rPr>
            <w:noProof/>
            <w:webHidden/>
          </w:rPr>
          <w:fldChar w:fldCharType="separate"/>
        </w:r>
        <w:r w:rsidR="002850A1">
          <w:rPr>
            <w:noProof/>
            <w:webHidden/>
          </w:rPr>
          <w:t>19</w:t>
        </w:r>
        <w:r w:rsidR="002850A1">
          <w:rPr>
            <w:noProof/>
            <w:webHidden/>
          </w:rPr>
          <w:fldChar w:fldCharType="end"/>
        </w:r>
      </w:hyperlink>
    </w:p>
    <w:p w14:paraId="60D00F53"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58" w:history="1">
        <w:r w:rsidR="002850A1" w:rsidRPr="004276A7">
          <w:rPr>
            <w:rStyle w:val="Hyperlink"/>
            <w:noProof/>
            <w:lang w:val="en-GB"/>
          </w:rPr>
          <w:t>4.3.1.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Introduction &amp; purpose</w:t>
        </w:r>
        <w:r w:rsidR="002850A1">
          <w:rPr>
            <w:noProof/>
            <w:webHidden/>
          </w:rPr>
          <w:tab/>
        </w:r>
        <w:r w:rsidR="002850A1">
          <w:rPr>
            <w:noProof/>
            <w:webHidden/>
          </w:rPr>
          <w:fldChar w:fldCharType="begin"/>
        </w:r>
        <w:r w:rsidR="002850A1">
          <w:rPr>
            <w:noProof/>
            <w:webHidden/>
          </w:rPr>
          <w:instrText xml:space="preserve"> PAGEREF _Toc533261858 \h </w:instrText>
        </w:r>
        <w:r w:rsidR="002850A1">
          <w:rPr>
            <w:noProof/>
            <w:webHidden/>
          </w:rPr>
        </w:r>
        <w:r w:rsidR="002850A1">
          <w:rPr>
            <w:noProof/>
            <w:webHidden/>
          </w:rPr>
          <w:fldChar w:fldCharType="separate"/>
        </w:r>
        <w:r w:rsidR="002850A1">
          <w:rPr>
            <w:noProof/>
            <w:webHidden/>
          </w:rPr>
          <w:t>19</w:t>
        </w:r>
        <w:r w:rsidR="002850A1">
          <w:rPr>
            <w:noProof/>
            <w:webHidden/>
          </w:rPr>
          <w:fldChar w:fldCharType="end"/>
        </w:r>
      </w:hyperlink>
    </w:p>
    <w:p w14:paraId="28E8D38C"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59" w:history="1">
        <w:r w:rsidR="002850A1" w:rsidRPr="004276A7">
          <w:rPr>
            <w:rStyle w:val="Hyperlink"/>
            <w:noProof/>
            <w:lang w:val="en-GB"/>
          </w:rPr>
          <w:t>4.3.2.</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Emerging and potential (data and role) models</w:t>
        </w:r>
        <w:r w:rsidR="002850A1">
          <w:rPr>
            <w:noProof/>
            <w:webHidden/>
          </w:rPr>
          <w:tab/>
        </w:r>
        <w:r w:rsidR="002850A1">
          <w:rPr>
            <w:noProof/>
            <w:webHidden/>
          </w:rPr>
          <w:fldChar w:fldCharType="begin"/>
        </w:r>
        <w:r w:rsidR="002850A1">
          <w:rPr>
            <w:noProof/>
            <w:webHidden/>
          </w:rPr>
          <w:instrText xml:space="preserve"> PAGEREF _Toc533261859 \h </w:instrText>
        </w:r>
        <w:r w:rsidR="002850A1">
          <w:rPr>
            <w:noProof/>
            <w:webHidden/>
          </w:rPr>
        </w:r>
        <w:r w:rsidR="002850A1">
          <w:rPr>
            <w:noProof/>
            <w:webHidden/>
          </w:rPr>
          <w:fldChar w:fldCharType="separate"/>
        </w:r>
        <w:r w:rsidR="002850A1">
          <w:rPr>
            <w:noProof/>
            <w:webHidden/>
          </w:rPr>
          <w:t>20</w:t>
        </w:r>
        <w:r w:rsidR="002850A1">
          <w:rPr>
            <w:noProof/>
            <w:webHidden/>
          </w:rPr>
          <w:fldChar w:fldCharType="end"/>
        </w:r>
      </w:hyperlink>
    </w:p>
    <w:p w14:paraId="07086706" w14:textId="77777777" w:rsidR="002850A1" w:rsidRDefault="00786F7B" w:rsidP="002850A1">
      <w:pPr>
        <w:pStyle w:val="TOC4"/>
        <w:tabs>
          <w:tab w:val="left" w:pos="1760"/>
          <w:tab w:val="right" w:leader="dot" w:pos="9486"/>
        </w:tabs>
        <w:spacing w:after="40" w:line="240" w:lineRule="auto"/>
        <w:rPr>
          <w:rFonts w:asciiTheme="minorHAnsi" w:eastAsiaTheme="minorEastAsia" w:hAnsiTheme="minorHAnsi" w:cstheme="minorBidi"/>
          <w:noProof/>
          <w:szCs w:val="22"/>
          <w:lang w:val="en-GB" w:eastAsia="en-GB"/>
        </w:rPr>
      </w:pPr>
      <w:hyperlink w:anchor="_Toc533261860" w:history="1">
        <w:r w:rsidR="002850A1" w:rsidRPr="004276A7">
          <w:rPr>
            <w:rStyle w:val="Hyperlink"/>
            <w:noProof/>
          </w:rPr>
          <w:t>4.3.2.1.</w:t>
        </w:r>
        <w:r w:rsidR="002850A1">
          <w:rPr>
            <w:rFonts w:asciiTheme="minorHAnsi" w:eastAsiaTheme="minorEastAsia" w:hAnsiTheme="minorHAnsi" w:cstheme="minorBidi"/>
            <w:noProof/>
            <w:szCs w:val="22"/>
            <w:lang w:val="en-GB" w:eastAsia="en-GB"/>
          </w:rPr>
          <w:tab/>
        </w:r>
        <w:r w:rsidR="002850A1" w:rsidRPr="004276A7">
          <w:rPr>
            <w:rStyle w:val="Hyperlink"/>
            <w:noProof/>
          </w:rPr>
          <w:t>Illustrative examples of Emerging services</w:t>
        </w:r>
        <w:r w:rsidR="002850A1">
          <w:rPr>
            <w:noProof/>
            <w:webHidden/>
          </w:rPr>
          <w:tab/>
        </w:r>
        <w:r w:rsidR="002850A1">
          <w:rPr>
            <w:noProof/>
            <w:webHidden/>
          </w:rPr>
          <w:fldChar w:fldCharType="begin"/>
        </w:r>
        <w:r w:rsidR="002850A1">
          <w:rPr>
            <w:noProof/>
            <w:webHidden/>
          </w:rPr>
          <w:instrText xml:space="preserve"> PAGEREF _Toc533261860 \h </w:instrText>
        </w:r>
        <w:r w:rsidR="002850A1">
          <w:rPr>
            <w:noProof/>
            <w:webHidden/>
          </w:rPr>
        </w:r>
        <w:r w:rsidR="002850A1">
          <w:rPr>
            <w:noProof/>
            <w:webHidden/>
          </w:rPr>
          <w:fldChar w:fldCharType="separate"/>
        </w:r>
        <w:r w:rsidR="002850A1">
          <w:rPr>
            <w:noProof/>
            <w:webHidden/>
          </w:rPr>
          <w:t>20</w:t>
        </w:r>
        <w:r w:rsidR="002850A1">
          <w:rPr>
            <w:noProof/>
            <w:webHidden/>
          </w:rPr>
          <w:fldChar w:fldCharType="end"/>
        </w:r>
      </w:hyperlink>
    </w:p>
    <w:p w14:paraId="6864F764" w14:textId="77777777" w:rsidR="002850A1" w:rsidRDefault="00786F7B" w:rsidP="002850A1">
      <w:pPr>
        <w:pStyle w:val="TOC4"/>
        <w:tabs>
          <w:tab w:val="left" w:pos="1760"/>
          <w:tab w:val="right" w:leader="dot" w:pos="9486"/>
        </w:tabs>
        <w:spacing w:after="40" w:line="240" w:lineRule="auto"/>
        <w:rPr>
          <w:rFonts w:asciiTheme="minorHAnsi" w:eastAsiaTheme="minorEastAsia" w:hAnsiTheme="minorHAnsi" w:cstheme="minorBidi"/>
          <w:noProof/>
          <w:szCs w:val="22"/>
          <w:lang w:val="en-GB" w:eastAsia="en-GB"/>
        </w:rPr>
      </w:pPr>
      <w:hyperlink w:anchor="_Toc533261861" w:history="1">
        <w:r w:rsidR="002850A1" w:rsidRPr="004276A7">
          <w:rPr>
            <w:rStyle w:val="Hyperlink"/>
            <w:noProof/>
          </w:rPr>
          <w:t>4.3.2.2.</w:t>
        </w:r>
        <w:r w:rsidR="002850A1">
          <w:rPr>
            <w:rFonts w:asciiTheme="minorHAnsi" w:eastAsiaTheme="minorEastAsia" w:hAnsiTheme="minorHAnsi" w:cstheme="minorBidi"/>
            <w:noProof/>
            <w:szCs w:val="22"/>
            <w:lang w:val="en-GB" w:eastAsia="en-GB"/>
          </w:rPr>
          <w:tab/>
        </w:r>
        <w:r w:rsidR="002850A1" w:rsidRPr="004276A7">
          <w:rPr>
            <w:rStyle w:val="Hyperlink"/>
            <w:noProof/>
          </w:rPr>
          <w:t>Existing models</w:t>
        </w:r>
        <w:r w:rsidR="002850A1">
          <w:rPr>
            <w:noProof/>
            <w:webHidden/>
          </w:rPr>
          <w:tab/>
        </w:r>
        <w:r w:rsidR="002850A1">
          <w:rPr>
            <w:noProof/>
            <w:webHidden/>
          </w:rPr>
          <w:fldChar w:fldCharType="begin"/>
        </w:r>
        <w:r w:rsidR="002850A1">
          <w:rPr>
            <w:noProof/>
            <w:webHidden/>
          </w:rPr>
          <w:instrText xml:space="preserve"> PAGEREF _Toc533261861 \h </w:instrText>
        </w:r>
        <w:r w:rsidR="002850A1">
          <w:rPr>
            <w:noProof/>
            <w:webHidden/>
          </w:rPr>
        </w:r>
        <w:r w:rsidR="002850A1">
          <w:rPr>
            <w:noProof/>
            <w:webHidden/>
          </w:rPr>
          <w:fldChar w:fldCharType="separate"/>
        </w:r>
        <w:r w:rsidR="002850A1">
          <w:rPr>
            <w:noProof/>
            <w:webHidden/>
          </w:rPr>
          <w:t>21</w:t>
        </w:r>
        <w:r w:rsidR="002850A1">
          <w:rPr>
            <w:noProof/>
            <w:webHidden/>
          </w:rPr>
          <w:fldChar w:fldCharType="end"/>
        </w:r>
      </w:hyperlink>
    </w:p>
    <w:p w14:paraId="0473A999" w14:textId="77777777" w:rsidR="002850A1" w:rsidRDefault="00786F7B" w:rsidP="002850A1">
      <w:pPr>
        <w:pStyle w:val="TOC4"/>
        <w:tabs>
          <w:tab w:val="left" w:pos="1760"/>
          <w:tab w:val="right" w:leader="dot" w:pos="9486"/>
        </w:tabs>
        <w:spacing w:after="40" w:line="240" w:lineRule="auto"/>
        <w:rPr>
          <w:rFonts w:asciiTheme="minorHAnsi" w:eastAsiaTheme="minorEastAsia" w:hAnsiTheme="minorHAnsi" w:cstheme="minorBidi"/>
          <w:noProof/>
          <w:szCs w:val="22"/>
          <w:lang w:val="en-GB" w:eastAsia="en-GB"/>
        </w:rPr>
      </w:pPr>
      <w:hyperlink w:anchor="_Toc533261862" w:history="1">
        <w:r w:rsidR="002850A1" w:rsidRPr="004276A7">
          <w:rPr>
            <w:rStyle w:val="Hyperlink"/>
            <w:noProof/>
          </w:rPr>
          <w:t>4.3.2.3.</w:t>
        </w:r>
        <w:r w:rsidR="002850A1">
          <w:rPr>
            <w:rFonts w:asciiTheme="minorHAnsi" w:eastAsiaTheme="minorEastAsia" w:hAnsiTheme="minorHAnsi" w:cstheme="minorBidi"/>
            <w:noProof/>
            <w:szCs w:val="22"/>
            <w:lang w:val="en-GB" w:eastAsia="en-GB"/>
          </w:rPr>
          <w:tab/>
        </w:r>
        <w:r w:rsidR="002850A1" w:rsidRPr="004276A7">
          <w:rPr>
            <w:rStyle w:val="Hyperlink"/>
            <w:noProof/>
          </w:rPr>
          <w:t>Roles and responsibilities</w:t>
        </w:r>
        <w:r w:rsidR="002850A1">
          <w:rPr>
            <w:noProof/>
            <w:webHidden/>
          </w:rPr>
          <w:tab/>
        </w:r>
        <w:r w:rsidR="002850A1">
          <w:rPr>
            <w:noProof/>
            <w:webHidden/>
          </w:rPr>
          <w:fldChar w:fldCharType="begin"/>
        </w:r>
        <w:r w:rsidR="002850A1">
          <w:rPr>
            <w:noProof/>
            <w:webHidden/>
          </w:rPr>
          <w:instrText xml:space="preserve"> PAGEREF _Toc533261862 \h </w:instrText>
        </w:r>
        <w:r w:rsidR="002850A1">
          <w:rPr>
            <w:noProof/>
            <w:webHidden/>
          </w:rPr>
        </w:r>
        <w:r w:rsidR="002850A1">
          <w:rPr>
            <w:noProof/>
            <w:webHidden/>
          </w:rPr>
          <w:fldChar w:fldCharType="separate"/>
        </w:r>
        <w:r w:rsidR="002850A1">
          <w:rPr>
            <w:noProof/>
            <w:webHidden/>
          </w:rPr>
          <w:t>22</w:t>
        </w:r>
        <w:r w:rsidR="002850A1">
          <w:rPr>
            <w:noProof/>
            <w:webHidden/>
          </w:rPr>
          <w:fldChar w:fldCharType="end"/>
        </w:r>
      </w:hyperlink>
    </w:p>
    <w:p w14:paraId="643E0621" w14:textId="77777777" w:rsidR="002850A1" w:rsidRDefault="00786F7B" w:rsidP="002850A1">
      <w:pPr>
        <w:pStyle w:val="TOC4"/>
        <w:tabs>
          <w:tab w:val="left" w:pos="1760"/>
          <w:tab w:val="right" w:leader="dot" w:pos="9486"/>
        </w:tabs>
        <w:spacing w:after="40" w:line="240" w:lineRule="auto"/>
        <w:rPr>
          <w:rFonts w:asciiTheme="minorHAnsi" w:eastAsiaTheme="minorEastAsia" w:hAnsiTheme="minorHAnsi" w:cstheme="minorBidi"/>
          <w:noProof/>
          <w:szCs w:val="22"/>
          <w:lang w:val="en-GB" w:eastAsia="en-GB"/>
        </w:rPr>
      </w:pPr>
      <w:hyperlink w:anchor="_Toc533261863" w:history="1">
        <w:r w:rsidR="002850A1" w:rsidRPr="004276A7">
          <w:rPr>
            <w:rStyle w:val="Hyperlink"/>
            <w:noProof/>
          </w:rPr>
          <w:t>4.3.2.4.</w:t>
        </w:r>
        <w:r w:rsidR="002850A1">
          <w:rPr>
            <w:rFonts w:asciiTheme="minorHAnsi" w:eastAsiaTheme="minorEastAsia" w:hAnsiTheme="minorHAnsi" w:cstheme="minorBidi"/>
            <w:noProof/>
            <w:szCs w:val="22"/>
            <w:lang w:val="en-GB" w:eastAsia="en-GB"/>
          </w:rPr>
          <w:tab/>
        </w:r>
        <w:r w:rsidR="002850A1" w:rsidRPr="004276A7">
          <w:rPr>
            <w:rStyle w:val="Hyperlink"/>
            <w:noProof/>
          </w:rPr>
          <w:t>Procedures</w:t>
        </w:r>
        <w:r w:rsidR="002850A1">
          <w:rPr>
            <w:noProof/>
            <w:webHidden/>
          </w:rPr>
          <w:tab/>
        </w:r>
        <w:r w:rsidR="002850A1">
          <w:rPr>
            <w:noProof/>
            <w:webHidden/>
          </w:rPr>
          <w:fldChar w:fldCharType="begin"/>
        </w:r>
        <w:r w:rsidR="002850A1">
          <w:rPr>
            <w:noProof/>
            <w:webHidden/>
          </w:rPr>
          <w:instrText xml:space="preserve"> PAGEREF _Toc533261863 \h </w:instrText>
        </w:r>
        <w:r w:rsidR="002850A1">
          <w:rPr>
            <w:noProof/>
            <w:webHidden/>
          </w:rPr>
        </w:r>
        <w:r w:rsidR="002850A1">
          <w:rPr>
            <w:noProof/>
            <w:webHidden/>
          </w:rPr>
          <w:fldChar w:fldCharType="separate"/>
        </w:r>
        <w:r w:rsidR="002850A1">
          <w:rPr>
            <w:noProof/>
            <w:webHidden/>
          </w:rPr>
          <w:t>24</w:t>
        </w:r>
        <w:r w:rsidR="002850A1">
          <w:rPr>
            <w:noProof/>
            <w:webHidden/>
          </w:rPr>
          <w:fldChar w:fldCharType="end"/>
        </w:r>
      </w:hyperlink>
    </w:p>
    <w:p w14:paraId="3A7E1EFE" w14:textId="77777777" w:rsidR="002850A1" w:rsidRDefault="00786F7B" w:rsidP="002850A1">
      <w:pPr>
        <w:pStyle w:val="TOC4"/>
        <w:tabs>
          <w:tab w:val="left" w:pos="1760"/>
          <w:tab w:val="right" w:leader="dot" w:pos="9486"/>
        </w:tabs>
        <w:spacing w:after="40" w:line="240" w:lineRule="auto"/>
        <w:rPr>
          <w:rFonts w:asciiTheme="minorHAnsi" w:eastAsiaTheme="minorEastAsia" w:hAnsiTheme="minorHAnsi" w:cstheme="minorBidi"/>
          <w:noProof/>
          <w:szCs w:val="22"/>
          <w:lang w:val="en-GB" w:eastAsia="en-GB"/>
        </w:rPr>
      </w:pPr>
      <w:hyperlink w:anchor="_Toc533261864" w:history="1">
        <w:r w:rsidR="002850A1" w:rsidRPr="004276A7">
          <w:rPr>
            <w:rStyle w:val="Hyperlink"/>
            <w:noProof/>
          </w:rPr>
          <w:t>4.3.2.5.</w:t>
        </w:r>
        <w:r w:rsidR="002850A1">
          <w:rPr>
            <w:rFonts w:asciiTheme="minorHAnsi" w:eastAsiaTheme="minorEastAsia" w:hAnsiTheme="minorHAnsi" w:cstheme="minorBidi"/>
            <w:noProof/>
            <w:szCs w:val="22"/>
            <w:lang w:val="en-GB" w:eastAsia="en-GB"/>
          </w:rPr>
          <w:tab/>
        </w:r>
        <w:r w:rsidR="002850A1" w:rsidRPr="004276A7">
          <w:rPr>
            <w:rStyle w:val="Hyperlink"/>
            <w:noProof/>
          </w:rPr>
          <w:t>Data models and data exchange</w:t>
        </w:r>
        <w:r w:rsidR="002850A1">
          <w:rPr>
            <w:noProof/>
            <w:webHidden/>
          </w:rPr>
          <w:tab/>
        </w:r>
        <w:r w:rsidR="002850A1">
          <w:rPr>
            <w:noProof/>
            <w:webHidden/>
          </w:rPr>
          <w:fldChar w:fldCharType="begin"/>
        </w:r>
        <w:r w:rsidR="002850A1">
          <w:rPr>
            <w:noProof/>
            <w:webHidden/>
          </w:rPr>
          <w:instrText xml:space="preserve"> PAGEREF _Toc533261864 \h </w:instrText>
        </w:r>
        <w:r w:rsidR="002850A1">
          <w:rPr>
            <w:noProof/>
            <w:webHidden/>
          </w:rPr>
        </w:r>
        <w:r w:rsidR="002850A1">
          <w:rPr>
            <w:noProof/>
            <w:webHidden/>
          </w:rPr>
          <w:fldChar w:fldCharType="separate"/>
        </w:r>
        <w:r w:rsidR="002850A1">
          <w:rPr>
            <w:noProof/>
            <w:webHidden/>
          </w:rPr>
          <w:t>29</w:t>
        </w:r>
        <w:r w:rsidR="002850A1">
          <w:rPr>
            <w:noProof/>
            <w:webHidden/>
          </w:rPr>
          <w:fldChar w:fldCharType="end"/>
        </w:r>
      </w:hyperlink>
    </w:p>
    <w:p w14:paraId="1377CB8B" w14:textId="77777777" w:rsidR="002850A1" w:rsidRDefault="00786F7B" w:rsidP="002850A1">
      <w:pPr>
        <w:pStyle w:val="TOC3"/>
        <w:tabs>
          <w:tab w:val="left" w:pos="1320"/>
          <w:tab w:val="right" w:leader="dot" w:pos="9486"/>
        </w:tabs>
        <w:spacing w:after="40" w:line="240" w:lineRule="auto"/>
        <w:rPr>
          <w:rFonts w:asciiTheme="minorHAnsi" w:eastAsiaTheme="minorEastAsia" w:hAnsiTheme="minorHAnsi" w:cstheme="minorBidi"/>
          <w:noProof/>
          <w:szCs w:val="22"/>
          <w:lang w:val="en-GB" w:eastAsia="en-GB"/>
        </w:rPr>
      </w:pPr>
      <w:hyperlink w:anchor="_Toc533261865" w:history="1">
        <w:r w:rsidR="002850A1" w:rsidRPr="004276A7">
          <w:rPr>
            <w:rStyle w:val="Hyperlink"/>
            <w:noProof/>
            <w:lang w:val="en-GB"/>
          </w:rPr>
          <w:t>4.3.3.</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Conclusions on processes supporting new and emerging services</w:t>
        </w:r>
        <w:r w:rsidR="002850A1">
          <w:rPr>
            <w:noProof/>
            <w:webHidden/>
          </w:rPr>
          <w:tab/>
        </w:r>
        <w:r w:rsidR="002850A1">
          <w:rPr>
            <w:noProof/>
            <w:webHidden/>
          </w:rPr>
          <w:fldChar w:fldCharType="begin"/>
        </w:r>
        <w:r w:rsidR="002850A1">
          <w:rPr>
            <w:noProof/>
            <w:webHidden/>
          </w:rPr>
          <w:instrText xml:space="preserve"> PAGEREF _Toc533261865 \h </w:instrText>
        </w:r>
        <w:r w:rsidR="002850A1">
          <w:rPr>
            <w:noProof/>
            <w:webHidden/>
          </w:rPr>
        </w:r>
        <w:r w:rsidR="002850A1">
          <w:rPr>
            <w:noProof/>
            <w:webHidden/>
          </w:rPr>
          <w:fldChar w:fldCharType="separate"/>
        </w:r>
        <w:r w:rsidR="002850A1">
          <w:rPr>
            <w:noProof/>
            <w:webHidden/>
          </w:rPr>
          <w:t>30</w:t>
        </w:r>
        <w:r w:rsidR="002850A1">
          <w:rPr>
            <w:noProof/>
            <w:webHidden/>
          </w:rPr>
          <w:fldChar w:fldCharType="end"/>
        </w:r>
      </w:hyperlink>
    </w:p>
    <w:p w14:paraId="75C86218" w14:textId="77777777" w:rsidR="002850A1" w:rsidRDefault="00786F7B" w:rsidP="002850A1">
      <w:pPr>
        <w:pStyle w:val="TOC1"/>
        <w:tabs>
          <w:tab w:val="right" w:leader="dot" w:pos="9486"/>
        </w:tabs>
        <w:spacing w:after="40" w:line="240" w:lineRule="auto"/>
        <w:rPr>
          <w:rFonts w:asciiTheme="minorHAnsi" w:eastAsiaTheme="minorEastAsia" w:hAnsiTheme="minorHAnsi" w:cstheme="minorBidi"/>
          <w:noProof/>
          <w:szCs w:val="22"/>
          <w:lang w:val="en-GB" w:eastAsia="en-GB"/>
        </w:rPr>
      </w:pPr>
      <w:hyperlink w:anchor="_Toc533261866" w:history="1">
        <w:r w:rsidR="002850A1" w:rsidRPr="004276A7">
          <w:rPr>
            <w:rStyle w:val="Hyperlink"/>
            <w:noProof/>
            <w:lang w:val="en-GB"/>
          </w:rPr>
          <w:t>Annexes</w:t>
        </w:r>
        <w:r w:rsidR="002850A1">
          <w:rPr>
            <w:noProof/>
            <w:webHidden/>
          </w:rPr>
          <w:tab/>
        </w:r>
        <w:r w:rsidR="002850A1">
          <w:rPr>
            <w:noProof/>
            <w:webHidden/>
          </w:rPr>
          <w:fldChar w:fldCharType="begin"/>
        </w:r>
        <w:r w:rsidR="002850A1">
          <w:rPr>
            <w:noProof/>
            <w:webHidden/>
          </w:rPr>
          <w:instrText xml:space="preserve"> PAGEREF _Toc533261866 \h </w:instrText>
        </w:r>
        <w:r w:rsidR="002850A1">
          <w:rPr>
            <w:noProof/>
            <w:webHidden/>
          </w:rPr>
        </w:r>
        <w:r w:rsidR="002850A1">
          <w:rPr>
            <w:noProof/>
            <w:webHidden/>
          </w:rPr>
          <w:fldChar w:fldCharType="separate"/>
        </w:r>
        <w:r w:rsidR="002850A1">
          <w:rPr>
            <w:noProof/>
            <w:webHidden/>
          </w:rPr>
          <w:t>34</w:t>
        </w:r>
        <w:r w:rsidR="002850A1">
          <w:rPr>
            <w:noProof/>
            <w:webHidden/>
          </w:rPr>
          <w:fldChar w:fldCharType="end"/>
        </w:r>
      </w:hyperlink>
    </w:p>
    <w:p w14:paraId="23682151" w14:textId="77777777" w:rsidR="002850A1" w:rsidRDefault="00786F7B" w:rsidP="002850A1">
      <w:pPr>
        <w:pStyle w:val="TOC1"/>
        <w:tabs>
          <w:tab w:val="left" w:pos="440"/>
          <w:tab w:val="right" w:leader="dot" w:pos="9486"/>
        </w:tabs>
        <w:spacing w:after="40" w:line="240" w:lineRule="auto"/>
        <w:rPr>
          <w:rFonts w:asciiTheme="minorHAnsi" w:eastAsiaTheme="minorEastAsia" w:hAnsiTheme="minorHAnsi" w:cstheme="minorBidi"/>
          <w:noProof/>
          <w:szCs w:val="22"/>
          <w:lang w:val="en-GB" w:eastAsia="en-GB"/>
        </w:rPr>
      </w:pPr>
      <w:hyperlink w:anchor="_Toc533261867" w:history="1">
        <w:r w:rsidR="002850A1" w:rsidRPr="004276A7">
          <w:rPr>
            <w:rStyle w:val="Hyperlink"/>
            <w:noProof/>
            <w:lang w:val="nn-NO"/>
          </w:rPr>
          <w:t>A.</w:t>
        </w:r>
        <w:r w:rsidR="002850A1">
          <w:rPr>
            <w:rFonts w:asciiTheme="minorHAnsi" w:eastAsiaTheme="minorEastAsia" w:hAnsiTheme="minorHAnsi" w:cstheme="minorBidi"/>
            <w:noProof/>
            <w:szCs w:val="22"/>
            <w:lang w:val="en-GB" w:eastAsia="en-GB"/>
          </w:rPr>
          <w:tab/>
        </w:r>
        <w:r w:rsidR="002850A1" w:rsidRPr="004276A7">
          <w:rPr>
            <w:rStyle w:val="Hyperlink"/>
            <w:noProof/>
            <w:lang w:val="nn-NO"/>
          </w:rPr>
          <w:t>Smart Grids Task Force EG1 – modus operandi</w:t>
        </w:r>
        <w:r w:rsidR="002850A1">
          <w:rPr>
            <w:noProof/>
            <w:webHidden/>
          </w:rPr>
          <w:tab/>
        </w:r>
        <w:r w:rsidR="002850A1">
          <w:rPr>
            <w:noProof/>
            <w:webHidden/>
          </w:rPr>
          <w:fldChar w:fldCharType="begin"/>
        </w:r>
        <w:r w:rsidR="002850A1">
          <w:rPr>
            <w:noProof/>
            <w:webHidden/>
          </w:rPr>
          <w:instrText xml:space="preserve"> PAGEREF _Toc533261867 \h </w:instrText>
        </w:r>
        <w:r w:rsidR="002850A1">
          <w:rPr>
            <w:noProof/>
            <w:webHidden/>
          </w:rPr>
        </w:r>
        <w:r w:rsidR="002850A1">
          <w:rPr>
            <w:noProof/>
            <w:webHidden/>
          </w:rPr>
          <w:fldChar w:fldCharType="separate"/>
        </w:r>
        <w:r w:rsidR="002850A1">
          <w:rPr>
            <w:noProof/>
            <w:webHidden/>
          </w:rPr>
          <w:t>34</w:t>
        </w:r>
        <w:r w:rsidR="002850A1">
          <w:rPr>
            <w:noProof/>
            <w:webHidden/>
          </w:rPr>
          <w:fldChar w:fldCharType="end"/>
        </w:r>
      </w:hyperlink>
    </w:p>
    <w:p w14:paraId="6CD2D7CC"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68" w:history="1">
        <w:r w:rsidR="002850A1" w:rsidRPr="004276A7">
          <w:rPr>
            <w:rStyle w:val="Hyperlink"/>
            <w:noProof/>
            <w:lang w:val="en-GB"/>
          </w:rPr>
          <w:t>A.1.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Terms of Reference &amp; Roadmap</w:t>
        </w:r>
        <w:r w:rsidR="002850A1">
          <w:rPr>
            <w:noProof/>
            <w:webHidden/>
          </w:rPr>
          <w:tab/>
        </w:r>
        <w:r w:rsidR="002850A1">
          <w:rPr>
            <w:noProof/>
            <w:webHidden/>
          </w:rPr>
          <w:fldChar w:fldCharType="begin"/>
        </w:r>
        <w:r w:rsidR="002850A1">
          <w:rPr>
            <w:noProof/>
            <w:webHidden/>
          </w:rPr>
          <w:instrText xml:space="preserve"> PAGEREF _Toc533261868 \h </w:instrText>
        </w:r>
        <w:r w:rsidR="002850A1">
          <w:rPr>
            <w:noProof/>
            <w:webHidden/>
          </w:rPr>
        </w:r>
        <w:r w:rsidR="002850A1">
          <w:rPr>
            <w:noProof/>
            <w:webHidden/>
          </w:rPr>
          <w:fldChar w:fldCharType="separate"/>
        </w:r>
        <w:r w:rsidR="002850A1">
          <w:rPr>
            <w:noProof/>
            <w:webHidden/>
          </w:rPr>
          <w:t>34</w:t>
        </w:r>
        <w:r w:rsidR="002850A1">
          <w:rPr>
            <w:noProof/>
            <w:webHidden/>
          </w:rPr>
          <w:fldChar w:fldCharType="end"/>
        </w:r>
      </w:hyperlink>
    </w:p>
    <w:p w14:paraId="6FAD8FDD"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69" w:history="1">
        <w:r w:rsidR="002850A1" w:rsidRPr="004276A7">
          <w:rPr>
            <w:rStyle w:val="Hyperlink"/>
            <w:noProof/>
            <w:lang w:val="en-GB"/>
          </w:rPr>
          <w:t>A.2.</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Group membership</w:t>
        </w:r>
        <w:r w:rsidR="002850A1">
          <w:rPr>
            <w:noProof/>
            <w:webHidden/>
          </w:rPr>
          <w:tab/>
        </w:r>
        <w:r w:rsidR="002850A1">
          <w:rPr>
            <w:noProof/>
            <w:webHidden/>
          </w:rPr>
          <w:fldChar w:fldCharType="begin"/>
        </w:r>
        <w:r w:rsidR="002850A1">
          <w:rPr>
            <w:noProof/>
            <w:webHidden/>
          </w:rPr>
          <w:instrText xml:space="preserve"> PAGEREF _Toc533261869 \h </w:instrText>
        </w:r>
        <w:r w:rsidR="002850A1">
          <w:rPr>
            <w:noProof/>
            <w:webHidden/>
          </w:rPr>
        </w:r>
        <w:r w:rsidR="002850A1">
          <w:rPr>
            <w:noProof/>
            <w:webHidden/>
          </w:rPr>
          <w:fldChar w:fldCharType="separate"/>
        </w:r>
        <w:r w:rsidR="002850A1">
          <w:rPr>
            <w:noProof/>
            <w:webHidden/>
          </w:rPr>
          <w:t>34</w:t>
        </w:r>
        <w:r w:rsidR="002850A1">
          <w:rPr>
            <w:noProof/>
            <w:webHidden/>
          </w:rPr>
          <w:fldChar w:fldCharType="end"/>
        </w:r>
      </w:hyperlink>
    </w:p>
    <w:p w14:paraId="7074FA8F"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70" w:history="1">
        <w:r w:rsidR="002850A1" w:rsidRPr="004276A7">
          <w:rPr>
            <w:rStyle w:val="Hyperlink"/>
            <w:noProof/>
            <w:lang w:val="en-GB"/>
          </w:rPr>
          <w:t>A.3.</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Working methods</w:t>
        </w:r>
        <w:r w:rsidR="002850A1">
          <w:rPr>
            <w:noProof/>
            <w:webHidden/>
          </w:rPr>
          <w:tab/>
        </w:r>
        <w:r w:rsidR="002850A1">
          <w:rPr>
            <w:noProof/>
            <w:webHidden/>
          </w:rPr>
          <w:fldChar w:fldCharType="begin"/>
        </w:r>
        <w:r w:rsidR="002850A1">
          <w:rPr>
            <w:noProof/>
            <w:webHidden/>
          </w:rPr>
          <w:instrText xml:space="preserve"> PAGEREF _Toc533261870 \h </w:instrText>
        </w:r>
        <w:r w:rsidR="002850A1">
          <w:rPr>
            <w:noProof/>
            <w:webHidden/>
          </w:rPr>
        </w:r>
        <w:r w:rsidR="002850A1">
          <w:rPr>
            <w:noProof/>
            <w:webHidden/>
          </w:rPr>
          <w:fldChar w:fldCharType="separate"/>
        </w:r>
        <w:r w:rsidR="002850A1">
          <w:rPr>
            <w:noProof/>
            <w:webHidden/>
          </w:rPr>
          <w:t>34</w:t>
        </w:r>
        <w:r w:rsidR="002850A1">
          <w:rPr>
            <w:noProof/>
            <w:webHidden/>
          </w:rPr>
          <w:fldChar w:fldCharType="end"/>
        </w:r>
      </w:hyperlink>
    </w:p>
    <w:p w14:paraId="52BD21BB"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71" w:history="1">
        <w:r w:rsidR="002850A1" w:rsidRPr="004276A7">
          <w:rPr>
            <w:rStyle w:val="Hyperlink"/>
            <w:noProof/>
            <w:lang w:val="en-GB"/>
          </w:rPr>
          <w:t>A.4.</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Meetings</w:t>
        </w:r>
        <w:r w:rsidR="002850A1">
          <w:rPr>
            <w:noProof/>
            <w:webHidden/>
          </w:rPr>
          <w:tab/>
        </w:r>
        <w:r w:rsidR="002850A1">
          <w:rPr>
            <w:noProof/>
            <w:webHidden/>
          </w:rPr>
          <w:fldChar w:fldCharType="begin"/>
        </w:r>
        <w:r w:rsidR="002850A1">
          <w:rPr>
            <w:noProof/>
            <w:webHidden/>
          </w:rPr>
          <w:instrText xml:space="preserve"> PAGEREF _Toc533261871 \h </w:instrText>
        </w:r>
        <w:r w:rsidR="002850A1">
          <w:rPr>
            <w:noProof/>
            <w:webHidden/>
          </w:rPr>
        </w:r>
        <w:r w:rsidR="002850A1">
          <w:rPr>
            <w:noProof/>
            <w:webHidden/>
          </w:rPr>
          <w:fldChar w:fldCharType="separate"/>
        </w:r>
        <w:r w:rsidR="002850A1">
          <w:rPr>
            <w:noProof/>
            <w:webHidden/>
          </w:rPr>
          <w:t>35</w:t>
        </w:r>
        <w:r w:rsidR="002850A1">
          <w:rPr>
            <w:noProof/>
            <w:webHidden/>
          </w:rPr>
          <w:fldChar w:fldCharType="end"/>
        </w:r>
      </w:hyperlink>
    </w:p>
    <w:p w14:paraId="3CC3DE6C"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72" w:history="1">
        <w:r w:rsidR="002850A1" w:rsidRPr="004276A7">
          <w:rPr>
            <w:rStyle w:val="Hyperlink"/>
            <w:noProof/>
            <w:lang w:val="en-GB"/>
          </w:rPr>
          <w:t>A.5.</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Membership</w:t>
        </w:r>
        <w:r w:rsidR="002850A1">
          <w:rPr>
            <w:noProof/>
            <w:webHidden/>
          </w:rPr>
          <w:tab/>
        </w:r>
        <w:r w:rsidR="002850A1">
          <w:rPr>
            <w:noProof/>
            <w:webHidden/>
          </w:rPr>
          <w:fldChar w:fldCharType="begin"/>
        </w:r>
        <w:r w:rsidR="002850A1">
          <w:rPr>
            <w:noProof/>
            <w:webHidden/>
          </w:rPr>
          <w:instrText xml:space="preserve"> PAGEREF _Toc533261872 \h </w:instrText>
        </w:r>
        <w:r w:rsidR="002850A1">
          <w:rPr>
            <w:noProof/>
            <w:webHidden/>
          </w:rPr>
        </w:r>
        <w:r w:rsidR="002850A1">
          <w:rPr>
            <w:noProof/>
            <w:webHidden/>
          </w:rPr>
          <w:fldChar w:fldCharType="separate"/>
        </w:r>
        <w:r w:rsidR="002850A1">
          <w:rPr>
            <w:noProof/>
            <w:webHidden/>
          </w:rPr>
          <w:t>36</w:t>
        </w:r>
        <w:r w:rsidR="002850A1">
          <w:rPr>
            <w:noProof/>
            <w:webHidden/>
          </w:rPr>
          <w:fldChar w:fldCharType="end"/>
        </w:r>
      </w:hyperlink>
    </w:p>
    <w:p w14:paraId="4138A6C2" w14:textId="77777777" w:rsidR="002850A1" w:rsidRDefault="00786F7B" w:rsidP="002850A1">
      <w:pPr>
        <w:pStyle w:val="TOC1"/>
        <w:tabs>
          <w:tab w:val="left" w:pos="440"/>
          <w:tab w:val="right" w:leader="dot" w:pos="9486"/>
        </w:tabs>
        <w:spacing w:after="40" w:line="240" w:lineRule="auto"/>
        <w:rPr>
          <w:rFonts w:asciiTheme="minorHAnsi" w:eastAsiaTheme="minorEastAsia" w:hAnsiTheme="minorHAnsi" w:cstheme="minorBidi"/>
          <w:noProof/>
          <w:szCs w:val="22"/>
          <w:lang w:val="en-GB" w:eastAsia="en-GB"/>
        </w:rPr>
      </w:pPr>
      <w:hyperlink w:anchor="_Toc533261873" w:history="1">
        <w:r w:rsidR="002850A1" w:rsidRPr="004276A7">
          <w:rPr>
            <w:rStyle w:val="Hyperlink"/>
            <w:noProof/>
            <w:lang w:val="en-GB"/>
          </w:rPr>
          <w:t>B.</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Deliverables and supporting material regarding interoperability</w:t>
        </w:r>
        <w:r w:rsidR="002850A1">
          <w:rPr>
            <w:noProof/>
            <w:webHidden/>
          </w:rPr>
          <w:tab/>
        </w:r>
        <w:r w:rsidR="002850A1">
          <w:rPr>
            <w:noProof/>
            <w:webHidden/>
          </w:rPr>
          <w:fldChar w:fldCharType="begin"/>
        </w:r>
        <w:r w:rsidR="002850A1">
          <w:rPr>
            <w:noProof/>
            <w:webHidden/>
          </w:rPr>
          <w:instrText xml:space="preserve"> PAGEREF _Toc533261873 \h </w:instrText>
        </w:r>
        <w:r w:rsidR="002850A1">
          <w:rPr>
            <w:noProof/>
            <w:webHidden/>
          </w:rPr>
        </w:r>
        <w:r w:rsidR="002850A1">
          <w:rPr>
            <w:noProof/>
            <w:webHidden/>
          </w:rPr>
          <w:fldChar w:fldCharType="separate"/>
        </w:r>
        <w:r w:rsidR="002850A1">
          <w:rPr>
            <w:noProof/>
            <w:webHidden/>
          </w:rPr>
          <w:t>38</w:t>
        </w:r>
        <w:r w:rsidR="002850A1">
          <w:rPr>
            <w:noProof/>
            <w:webHidden/>
          </w:rPr>
          <w:fldChar w:fldCharType="end"/>
        </w:r>
      </w:hyperlink>
    </w:p>
    <w:p w14:paraId="35622BEE"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74" w:history="1">
        <w:r w:rsidR="002850A1" w:rsidRPr="004276A7">
          <w:rPr>
            <w:rStyle w:val="Hyperlink"/>
            <w:noProof/>
            <w:lang w:val="en-GB"/>
          </w:rPr>
          <w:t>B.1.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Heading 2</w:t>
        </w:r>
        <w:r w:rsidR="002850A1">
          <w:rPr>
            <w:noProof/>
            <w:webHidden/>
          </w:rPr>
          <w:tab/>
        </w:r>
        <w:r w:rsidR="002850A1">
          <w:rPr>
            <w:noProof/>
            <w:webHidden/>
          </w:rPr>
          <w:fldChar w:fldCharType="begin"/>
        </w:r>
        <w:r w:rsidR="002850A1">
          <w:rPr>
            <w:noProof/>
            <w:webHidden/>
          </w:rPr>
          <w:instrText xml:space="preserve"> PAGEREF _Toc533261874 \h </w:instrText>
        </w:r>
        <w:r w:rsidR="002850A1">
          <w:rPr>
            <w:noProof/>
            <w:webHidden/>
          </w:rPr>
        </w:r>
        <w:r w:rsidR="002850A1">
          <w:rPr>
            <w:noProof/>
            <w:webHidden/>
          </w:rPr>
          <w:fldChar w:fldCharType="separate"/>
        </w:r>
        <w:r w:rsidR="002850A1">
          <w:rPr>
            <w:noProof/>
            <w:webHidden/>
          </w:rPr>
          <w:t>38</w:t>
        </w:r>
        <w:r w:rsidR="002850A1">
          <w:rPr>
            <w:noProof/>
            <w:webHidden/>
          </w:rPr>
          <w:fldChar w:fldCharType="end"/>
        </w:r>
      </w:hyperlink>
    </w:p>
    <w:p w14:paraId="123C1FEE"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75" w:history="1">
        <w:r w:rsidR="002850A1" w:rsidRPr="004276A7">
          <w:rPr>
            <w:rStyle w:val="Hyperlink"/>
            <w:noProof/>
            <w:lang w:val="en-GB"/>
          </w:rPr>
          <w:t>B.2.</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Heading 2</w:t>
        </w:r>
        <w:r w:rsidR="002850A1">
          <w:rPr>
            <w:noProof/>
            <w:webHidden/>
          </w:rPr>
          <w:tab/>
        </w:r>
        <w:r w:rsidR="002850A1">
          <w:rPr>
            <w:noProof/>
            <w:webHidden/>
          </w:rPr>
          <w:fldChar w:fldCharType="begin"/>
        </w:r>
        <w:r w:rsidR="002850A1">
          <w:rPr>
            <w:noProof/>
            <w:webHidden/>
          </w:rPr>
          <w:instrText xml:space="preserve"> PAGEREF _Toc533261875 \h </w:instrText>
        </w:r>
        <w:r w:rsidR="002850A1">
          <w:rPr>
            <w:noProof/>
            <w:webHidden/>
          </w:rPr>
        </w:r>
        <w:r w:rsidR="002850A1">
          <w:rPr>
            <w:noProof/>
            <w:webHidden/>
          </w:rPr>
          <w:fldChar w:fldCharType="separate"/>
        </w:r>
        <w:r w:rsidR="002850A1">
          <w:rPr>
            <w:noProof/>
            <w:webHidden/>
          </w:rPr>
          <w:t>38</w:t>
        </w:r>
        <w:r w:rsidR="002850A1">
          <w:rPr>
            <w:noProof/>
            <w:webHidden/>
          </w:rPr>
          <w:fldChar w:fldCharType="end"/>
        </w:r>
      </w:hyperlink>
    </w:p>
    <w:p w14:paraId="27A1B877"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76" w:history="1">
        <w:r w:rsidR="002850A1" w:rsidRPr="004276A7">
          <w:rPr>
            <w:rStyle w:val="Hyperlink"/>
            <w:rFonts w:ascii="Cambria" w:hAnsi="Cambria" w:cs="Times New Roman"/>
            <w:noProof/>
            <w:lang w:val="en-GB"/>
          </w:rPr>
          <w:t>B.3.</w:t>
        </w:r>
        <w:r w:rsidR="002850A1">
          <w:rPr>
            <w:rFonts w:asciiTheme="minorHAnsi" w:eastAsiaTheme="minorEastAsia" w:hAnsiTheme="minorHAnsi" w:cstheme="minorBidi"/>
            <w:noProof/>
            <w:szCs w:val="22"/>
            <w:lang w:val="en-GB" w:eastAsia="en-GB"/>
          </w:rPr>
          <w:tab/>
        </w:r>
        <w:r w:rsidR="002850A1" w:rsidRPr="004276A7">
          <w:rPr>
            <w:rStyle w:val="Hyperlink"/>
            <w:rFonts w:ascii="Cambria" w:hAnsi="Cambria" w:cs="Times New Roman"/>
            <w:noProof/>
            <w:lang w:val="en-GB"/>
          </w:rPr>
          <w:t>Deliverable 3 - Cost-benefit considerations</w:t>
        </w:r>
        <w:r w:rsidR="002850A1">
          <w:rPr>
            <w:noProof/>
            <w:webHidden/>
          </w:rPr>
          <w:tab/>
        </w:r>
        <w:r w:rsidR="002850A1">
          <w:rPr>
            <w:noProof/>
            <w:webHidden/>
          </w:rPr>
          <w:fldChar w:fldCharType="begin"/>
        </w:r>
        <w:r w:rsidR="002850A1">
          <w:rPr>
            <w:noProof/>
            <w:webHidden/>
          </w:rPr>
          <w:instrText xml:space="preserve"> PAGEREF _Toc533261876 \h </w:instrText>
        </w:r>
        <w:r w:rsidR="002850A1">
          <w:rPr>
            <w:noProof/>
            <w:webHidden/>
          </w:rPr>
        </w:r>
        <w:r w:rsidR="002850A1">
          <w:rPr>
            <w:noProof/>
            <w:webHidden/>
          </w:rPr>
          <w:fldChar w:fldCharType="separate"/>
        </w:r>
        <w:r w:rsidR="002850A1">
          <w:rPr>
            <w:noProof/>
            <w:webHidden/>
          </w:rPr>
          <w:t>38</w:t>
        </w:r>
        <w:r w:rsidR="002850A1">
          <w:rPr>
            <w:noProof/>
            <w:webHidden/>
          </w:rPr>
          <w:fldChar w:fldCharType="end"/>
        </w:r>
      </w:hyperlink>
    </w:p>
    <w:p w14:paraId="022E8041"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77" w:history="1">
        <w:r w:rsidR="002850A1" w:rsidRPr="004276A7">
          <w:rPr>
            <w:rStyle w:val="Hyperlink"/>
            <w:noProof/>
            <w:lang w:val="en-GB"/>
          </w:rPr>
          <w:t>B.4.</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Deliverable 4 - Governance &amp; interoperability over time</w:t>
        </w:r>
        <w:r w:rsidR="002850A1">
          <w:rPr>
            <w:noProof/>
            <w:webHidden/>
          </w:rPr>
          <w:tab/>
        </w:r>
        <w:r w:rsidR="002850A1">
          <w:rPr>
            <w:noProof/>
            <w:webHidden/>
          </w:rPr>
          <w:fldChar w:fldCharType="begin"/>
        </w:r>
        <w:r w:rsidR="002850A1">
          <w:rPr>
            <w:noProof/>
            <w:webHidden/>
          </w:rPr>
          <w:instrText xml:space="preserve"> PAGEREF _Toc533261877 \h </w:instrText>
        </w:r>
        <w:r w:rsidR="002850A1">
          <w:rPr>
            <w:noProof/>
            <w:webHidden/>
          </w:rPr>
        </w:r>
        <w:r w:rsidR="002850A1">
          <w:rPr>
            <w:noProof/>
            <w:webHidden/>
          </w:rPr>
          <w:fldChar w:fldCharType="separate"/>
        </w:r>
        <w:r w:rsidR="002850A1">
          <w:rPr>
            <w:noProof/>
            <w:webHidden/>
          </w:rPr>
          <w:t>38</w:t>
        </w:r>
        <w:r w:rsidR="002850A1">
          <w:rPr>
            <w:noProof/>
            <w:webHidden/>
          </w:rPr>
          <w:fldChar w:fldCharType="end"/>
        </w:r>
      </w:hyperlink>
    </w:p>
    <w:p w14:paraId="4CFAFAFB" w14:textId="77777777" w:rsidR="002850A1" w:rsidRDefault="00786F7B" w:rsidP="002850A1">
      <w:pPr>
        <w:pStyle w:val="TOC1"/>
        <w:tabs>
          <w:tab w:val="left" w:pos="440"/>
          <w:tab w:val="right" w:leader="dot" w:pos="9486"/>
        </w:tabs>
        <w:spacing w:after="40" w:line="240" w:lineRule="auto"/>
        <w:rPr>
          <w:rFonts w:asciiTheme="minorHAnsi" w:eastAsiaTheme="minorEastAsia" w:hAnsiTheme="minorHAnsi" w:cstheme="minorBidi"/>
          <w:noProof/>
          <w:szCs w:val="22"/>
          <w:lang w:val="en-GB" w:eastAsia="en-GB"/>
        </w:rPr>
      </w:pPr>
      <w:hyperlink w:anchor="_Toc533261878" w:history="1">
        <w:r w:rsidR="002850A1" w:rsidRPr="004276A7">
          <w:rPr>
            <w:rStyle w:val="Hyperlink"/>
            <w:noProof/>
            <w:lang w:val="en-GB"/>
          </w:rPr>
          <w:t>C.</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Deliverables and supporting material regarding the billing process</w:t>
        </w:r>
        <w:r w:rsidR="002850A1">
          <w:rPr>
            <w:noProof/>
            <w:webHidden/>
          </w:rPr>
          <w:tab/>
        </w:r>
        <w:r w:rsidR="002850A1">
          <w:rPr>
            <w:noProof/>
            <w:webHidden/>
          </w:rPr>
          <w:fldChar w:fldCharType="begin"/>
        </w:r>
        <w:r w:rsidR="002850A1">
          <w:rPr>
            <w:noProof/>
            <w:webHidden/>
          </w:rPr>
          <w:instrText xml:space="preserve"> PAGEREF _Toc533261878 \h </w:instrText>
        </w:r>
        <w:r w:rsidR="002850A1">
          <w:rPr>
            <w:noProof/>
            <w:webHidden/>
          </w:rPr>
        </w:r>
        <w:r w:rsidR="002850A1">
          <w:rPr>
            <w:noProof/>
            <w:webHidden/>
          </w:rPr>
          <w:fldChar w:fldCharType="separate"/>
        </w:r>
        <w:r w:rsidR="002850A1">
          <w:rPr>
            <w:noProof/>
            <w:webHidden/>
          </w:rPr>
          <w:t>39</w:t>
        </w:r>
        <w:r w:rsidR="002850A1">
          <w:rPr>
            <w:noProof/>
            <w:webHidden/>
          </w:rPr>
          <w:fldChar w:fldCharType="end"/>
        </w:r>
      </w:hyperlink>
    </w:p>
    <w:p w14:paraId="537B3FF5"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79" w:history="1">
        <w:r w:rsidR="002850A1" w:rsidRPr="004276A7">
          <w:rPr>
            <w:rStyle w:val="Hyperlink"/>
            <w:noProof/>
            <w:lang w:val="en-GB"/>
          </w:rPr>
          <w:t>C.1.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Heading 2</w:t>
        </w:r>
        <w:r w:rsidR="002850A1">
          <w:rPr>
            <w:noProof/>
            <w:webHidden/>
          </w:rPr>
          <w:tab/>
        </w:r>
        <w:r w:rsidR="002850A1">
          <w:rPr>
            <w:noProof/>
            <w:webHidden/>
          </w:rPr>
          <w:fldChar w:fldCharType="begin"/>
        </w:r>
        <w:r w:rsidR="002850A1">
          <w:rPr>
            <w:noProof/>
            <w:webHidden/>
          </w:rPr>
          <w:instrText xml:space="preserve"> PAGEREF _Toc533261879 \h </w:instrText>
        </w:r>
        <w:r w:rsidR="002850A1">
          <w:rPr>
            <w:noProof/>
            <w:webHidden/>
          </w:rPr>
        </w:r>
        <w:r w:rsidR="002850A1">
          <w:rPr>
            <w:noProof/>
            <w:webHidden/>
          </w:rPr>
          <w:fldChar w:fldCharType="separate"/>
        </w:r>
        <w:r w:rsidR="002850A1">
          <w:rPr>
            <w:noProof/>
            <w:webHidden/>
          </w:rPr>
          <w:t>39</w:t>
        </w:r>
        <w:r w:rsidR="002850A1">
          <w:rPr>
            <w:noProof/>
            <w:webHidden/>
          </w:rPr>
          <w:fldChar w:fldCharType="end"/>
        </w:r>
      </w:hyperlink>
    </w:p>
    <w:p w14:paraId="3A518381"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80" w:history="1">
        <w:r w:rsidR="002850A1" w:rsidRPr="004276A7">
          <w:rPr>
            <w:rStyle w:val="Hyperlink"/>
            <w:noProof/>
            <w:lang w:val="en-GB"/>
          </w:rPr>
          <w:t>C.2.</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Heading 2</w:t>
        </w:r>
        <w:r w:rsidR="002850A1">
          <w:rPr>
            <w:noProof/>
            <w:webHidden/>
          </w:rPr>
          <w:tab/>
        </w:r>
        <w:r w:rsidR="002850A1">
          <w:rPr>
            <w:noProof/>
            <w:webHidden/>
          </w:rPr>
          <w:fldChar w:fldCharType="begin"/>
        </w:r>
        <w:r w:rsidR="002850A1">
          <w:rPr>
            <w:noProof/>
            <w:webHidden/>
          </w:rPr>
          <w:instrText xml:space="preserve"> PAGEREF _Toc533261880 \h </w:instrText>
        </w:r>
        <w:r w:rsidR="002850A1">
          <w:rPr>
            <w:noProof/>
            <w:webHidden/>
          </w:rPr>
        </w:r>
        <w:r w:rsidR="002850A1">
          <w:rPr>
            <w:noProof/>
            <w:webHidden/>
          </w:rPr>
          <w:fldChar w:fldCharType="separate"/>
        </w:r>
        <w:r w:rsidR="002850A1">
          <w:rPr>
            <w:noProof/>
            <w:webHidden/>
          </w:rPr>
          <w:t>39</w:t>
        </w:r>
        <w:r w:rsidR="002850A1">
          <w:rPr>
            <w:noProof/>
            <w:webHidden/>
          </w:rPr>
          <w:fldChar w:fldCharType="end"/>
        </w:r>
      </w:hyperlink>
    </w:p>
    <w:p w14:paraId="642EBC1C"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81" w:history="1">
        <w:r w:rsidR="002850A1" w:rsidRPr="004276A7">
          <w:rPr>
            <w:rStyle w:val="Hyperlink"/>
            <w:noProof/>
            <w:lang w:val="en-GB"/>
          </w:rPr>
          <w:t>C.3.</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Heading 2</w:t>
        </w:r>
        <w:r w:rsidR="002850A1">
          <w:rPr>
            <w:noProof/>
            <w:webHidden/>
          </w:rPr>
          <w:tab/>
        </w:r>
        <w:r w:rsidR="002850A1">
          <w:rPr>
            <w:noProof/>
            <w:webHidden/>
          </w:rPr>
          <w:fldChar w:fldCharType="begin"/>
        </w:r>
        <w:r w:rsidR="002850A1">
          <w:rPr>
            <w:noProof/>
            <w:webHidden/>
          </w:rPr>
          <w:instrText xml:space="preserve"> PAGEREF _Toc533261881 \h </w:instrText>
        </w:r>
        <w:r w:rsidR="002850A1">
          <w:rPr>
            <w:noProof/>
            <w:webHidden/>
          </w:rPr>
        </w:r>
        <w:r w:rsidR="002850A1">
          <w:rPr>
            <w:noProof/>
            <w:webHidden/>
          </w:rPr>
          <w:fldChar w:fldCharType="separate"/>
        </w:r>
        <w:r w:rsidR="002850A1">
          <w:rPr>
            <w:noProof/>
            <w:webHidden/>
          </w:rPr>
          <w:t>39</w:t>
        </w:r>
        <w:r w:rsidR="002850A1">
          <w:rPr>
            <w:noProof/>
            <w:webHidden/>
          </w:rPr>
          <w:fldChar w:fldCharType="end"/>
        </w:r>
      </w:hyperlink>
    </w:p>
    <w:p w14:paraId="6FF36C9D" w14:textId="77777777" w:rsidR="002850A1" w:rsidRDefault="00786F7B" w:rsidP="002850A1">
      <w:pPr>
        <w:pStyle w:val="TOC1"/>
        <w:tabs>
          <w:tab w:val="left" w:pos="440"/>
          <w:tab w:val="right" w:leader="dot" w:pos="9486"/>
        </w:tabs>
        <w:spacing w:after="40" w:line="240" w:lineRule="auto"/>
        <w:rPr>
          <w:rFonts w:asciiTheme="minorHAnsi" w:eastAsiaTheme="minorEastAsia" w:hAnsiTheme="minorHAnsi" w:cstheme="minorBidi"/>
          <w:noProof/>
          <w:szCs w:val="22"/>
          <w:lang w:val="en-GB" w:eastAsia="en-GB"/>
        </w:rPr>
      </w:pPr>
      <w:hyperlink w:anchor="_Toc533261882" w:history="1">
        <w:r w:rsidR="002850A1" w:rsidRPr="004276A7">
          <w:rPr>
            <w:rStyle w:val="Hyperlink"/>
            <w:noProof/>
            <w:lang w:val="en-GB"/>
          </w:rPr>
          <w:t>D.</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Deliverables and supporting material regarding the change of supplier process</w:t>
        </w:r>
        <w:r w:rsidR="002850A1">
          <w:rPr>
            <w:noProof/>
            <w:webHidden/>
          </w:rPr>
          <w:tab/>
        </w:r>
        <w:r w:rsidR="002850A1">
          <w:rPr>
            <w:noProof/>
            <w:webHidden/>
          </w:rPr>
          <w:fldChar w:fldCharType="begin"/>
        </w:r>
        <w:r w:rsidR="002850A1">
          <w:rPr>
            <w:noProof/>
            <w:webHidden/>
          </w:rPr>
          <w:instrText xml:space="preserve"> PAGEREF _Toc533261882 \h </w:instrText>
        </w:r>
        <w:r w:rsidR="002850A1">
          <w:rPr>
            <w:noProof/>
            <w:webHidden/>
          </w:rPr>
        </w:r>
        <w:r w:rsidR="002850A1">
          <w:rPr>
            <w:noProof/>
            <w:webHidden/>
          </w:rPr>
          <w:fldChar w:fldCharType="separate"/>
        </w:r>
        <w:r w:rsidR="002850A1">
          <w:rPr>
            <w:noProof/>
            <w:webHidden/>
          </w:rPr>
          <w:t>40</w:t>
        </w:r>
        <w:r w:rsidR="002850A1">
          <w:rPr>
            <w:noProof/>
            <w:webHidden/>
          </w:rPr>
          <w:fldChar w:fldCharType="end"/>
        </w:r>
      </w:hyperlink>
    </w:p>
    <w:p w14:paraId="689AB932"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83" w:history="1">
        <w:r w:rsidR="002850A1" w:rsidRPr="004276A7">
          <w:rPr>
            <w:rStyle w:val="Hyperlink"/>
            <w:noProof/>
            <w:lang w:val="en-GB"/>
          </w:rPr>
          <w:t>D.1.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Heading 2</w:t>
        </w:r>
        <w:r w:rsidR="002850A1">
          <w:rPr>
            <w:noProof/>
            <w:webHidden/>
          </w:rPr>
          <w:tab/>
        </w:r>
        <w:r w:rsidR="002850A1">
          <w:rPr>
            <w:noProof/>
            <w:webHidden/>
          </w:rPr>
          <w:fldChar w:fldCharType="begin"/>
        </w:r>
        <w:r w:rsidR="002850A1">
          <w:rPr>
            <w:noProof/>
            <w:webHidden/>
          </w:rPr>
          <w:instrText xml:space="preserve"> PAGEREF _Toc533261883 \h </w:instrText>
        </w:r>
        <w:r w:rsidR="002850A1">
          <w:rPr>
            <w:noProof/>
            <w:webHidden/>
          </w:rPr>
        </w:r>
        <w:r w:rsidR="002850A1">
          <w:rPr>
            <w:noProof/>
            <w:webHidden/>
          </w:rPr>
          <w:fldChar w:fldCharType="separate"/>
        </w:r>
        <w:r w:rsidR="002850A1">
          <w:rPr>
            <w:noProof/>
            <w:webHidden/>
          </w:rPr>
          <w:t>40</w:t>
        </w:r>
        <w:r w:rsidR="002850A1">
          <w:rPr>
            <w:noProof/>
            <w:webHidden/>
          </w:rPr>
          <w:fldChar w:fldCharType="end"/>
        </w:r>
      </w:hyperlink>
    </w:p>
    <w:p w14:paraId="12BF9E3D"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84" w:history="1">
        <w:r w:rsidR="002850A1" w:rsidRPr="004276A7">
          <w:rPr>
            <w:rStyle w:val="Hyperlink"/>
            <w:noProof/>
            <w:lang w:val="en-GB"/>
          </w:rPr>
          <w:t>D.2.</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Heading 2</w:t>
        </w:r>
        <w:r w:rsidR="002850A1">
          <w:rPr>
            <w:noProof/>
            <w:webHidden/>
          </w:rPr>
          <w:tab/>
        </w:r>
        <w:r w:rsidR="002850A1">
          <w:rPr>
            <w:noProof/>
            <w:webHidden/>
          </w:rPr>
          <w:fldChar w:fldCharType="begin"/>
        </w:r>
        <w:r w:rsidR="002850A1">
          <w:rPr>
            <w:noProof/>
            <w:webHidden/>
          </w:rPr>
          <w:instrText xml:space="preserve"> PAGEREF _Toc533261884 \h </w:instrText>
        </w:r>
        <w:r w:rsidR="002850A1">
          <w:rPr>
            <w:noProof/>
            <w:webHidden/>
          </w:rPr>
        </w:r>
        <w:r w:rsidR="002850A1">
          <w:rPr>
            <w:noProof/>
            <w:webHidden/>
          </w:rPr>
          <w:fldChar w:fldCharType="separate"/>
        </w:r>
        <w:r w:rsidR="002850A1">
          <w:rPr>
            <w:noProof/>
            <w:webHidden/>
          </w:rPr>
          <w:t>40</w:t>
        </w:r>
        <w:r w:rsidR="002850A1">
          <w:rPr>
            <w:noProof/>
            <w:webHidden/>
          </w:rPr>
          <w:fldChar w:fldCharType="end"/>
        </w:r>
      </w:hyperlink>
    </w:p>
    <w:p w14:paraId="5C26534A"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85" w:history="1">
        <w:r w:rsidR="002850A1" w:rsidRPr="004276A7">
          <w:rPr>
            <w:rStyle w:val="Hyperlink"/>
            <w:noProof/>
            <w:lang w:val="en-GB"/>
          </w:rPr>
          <w:t>D.3.</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Heading 2</w:t>
        </w:r>
        <w:r w:rsidR="002850A1">
          <w:rPr>
            <w:noProof/>
            <w:webHidden/>
          </w:rPr>
          <w:tab/>
        </w:r>
        <w:r w:rsidR="002850A1">
          <w:rPr>
            <w:noProof/>
            <w:webHidden/>
          </w:rPr>
          <w:fldChar w:fldCharType="begin"/>
        </w:r>
        <w:r w:rsidR="002850A1">
          <w:rPr>
            <w:noProof/>
            <w:webHidden/>
          </w:rPr>
          <w:instrText xml:space="preserve"> PAGEREF _Toc533261885 \h </w:instrText>
        </w:r>
        <w:r w:rsidR="002850A1">
          <w:rPr>
            <w:noProof/>
            <w:webHidden/>
          </w:rPr>
        </w:r>
        <w:r w:rsidR="002850A1">
          <w:rPr>
            <w:noProof/>
            <w:webHidden/>
          </w:rPr>
          <w:fldChar w:fldCharType="separate"/>
        </w:r>
        <w:r w:rsidR="002850A1">
          <w:rPr>
            <w:noProof/>
            <w:webHidden/>
          </w:rPr>
          <w:t>40</w:t>
        </w:r>
        <w:r w:rsidR="002850A1">
          <w:rPr>
            <w:noProof/>
            <w:webHidden/>
          </w:rPr>
          <w:fldChar w:fldCharType="end"/>
        </w:r>
      </w:hyperlink>
    </w:p>
    <w:p w14:paraId="45562283" w14:textId="77777777" w:rsidR="002850A1" w:rsidRDefault="00786F7B" w:rsidP="002850A1">
      <w:pPr>
        <w:pStyle w:val="TOC1"/>
        <w:tabs>
          <w:tab w:val="left" w:pos="440"/>
          <w:tab w:val="right" w:leader="dot" w:pos="9486"/>
        </w:tabs>
        <w:spacing w:after="40" w:line="240" w:lineRule="auto"/>
        <w:rPr>
          <w:rFonts w:asciiTheme="minorHAnsi" w:eastAsiaTheme="minorEastAsia" w:hAnsiTheme="minorHAnsi" w:cstheme="minorBidi"/>
          <w:noProof/>
          <w:szCs w:val="22"/>
          <w:lang w:val="en-GB" w:eastAsia="en-GB"/>
        </w:rPr>
      </w:pPr>
      <w:hyperlink w:anchor="_Toc533261886" w:history="1">
        <w:r w:rsidR="002850A1" w:rsidRPr="004276A7">
          <w:rPr>
            <w:rStyle w:val="Hyperlink"/>
            <w:noProof/>
            <w:lang w:val="en-GB"/>
          </w:rPr>
          <w:t>E.</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Deliverables and supporting material regarding emerging services</w:t>
        </w:r>
        <w:r w:rsidR="002850A1">
          <w:rPr>
            <w:noProof/>
            <w:webHidden/>
          </w:rPr>
          <w:tab/>
        </w:r>
        <w:r w:rsidR="002850A1">
          <w:rPr>
            <w:noProof/>
            <w:webHidden/>
          </w:rPr>
          <w:fldChar w:fldCharType="begin"/>
        </w:r>
        <w:r w:rsidR="002850A1">
          <w:rPr>
            <w:noProof/>
            <w:webHidden/>
          </w:rPr>
          <w:instrText xml:space="preserve"> PAGEREF _Toc533261886 \h </w:instrText>
        </w:r>
        <w:r w:rsidR="002850A1">
          <w:rPr>
            <w:noProof/>
            <w:webHidden/>
          </w:rPr>
        </w:r>
        <w:r w:rsidR="002850A1">
          <w:rPr>
            <w:noProof/>
            <w:webHidden/>
          </w:rPr>
          <w:fldChar w:fldCharType="separate"/>
        </w:r>
        <w:r w:rsidR="002850A1">
          <w:rPr>
            <w:noProof/>
            <w:webHidden/>
          </w:rPr>
          <w:t>41</w:t>
        </w:r>
        <w:r w:rsidR="002850A1">
          <w:rPr>
            <w:noProof/>
            <w:webHidden/>
          </w:rPr>
          <w:fldChar w:fldCharType="end"/>
        </w:r>
      </w:hyperlink>
    </w:p>
    <w:p w14:paraId="1476D342"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87" w:history="1">
        <w:r w:rsidR="002850A1" w:rsidRPr="004276A7">
          <w:rPr>
            <w:rStyle w:val="Hyperlink"/>
            <w:noProof/>
            <w:lang w:val="en-GB"/>
          </w:rPr>
          <w:t>E.1.</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Heading 2</w:t>
        </w:r>
        <w:r w:rsidR="002850A1">
          <w:rPr>
            <w:noProof/>
            <w:webHidden/>
          </w:rPr>
          <w:tab/>
        </w:r>
        <w:r w:rsidR="002850A1">
          <w:rPr>
            <w:noProof/>
            <w:webHidden/>
          </w:rPr>
          <w:fldChar w:fldCharType="begin"/>
        </w:r>
        <w:r w:rsidR="002850A1">
          <w:rPr>
            <w:noProof/>
            <w:webHidden/>
          </w:rPr>
          <w:instrText xml:space="preserve"> PAGEREF _Toc533261887 \h </w:instrText>
        </w:r>
        <w:r w:rsidR="002850A1">
          <w:rPr>
            <w:noProof/>
            <w:webHidden/>
          </w:rPr>
        </w:r>
        <w:r w:rsidR="002850A1">
          <w:rPr>
            <w:noProof/>
            <w:webHidden/>
          </w:rPr>
          <w:fldChar w:fldCharType="separate"/>
        </w:r>
        <w:r w:rsidR="002850A1">
          <w:rPr>
            <w:noProof/>
            <w:webHidden/>
          </w:rPr>
          <w:t>41</w:t>
        </w:r>
        <w:r w:rsidR="002850A1">
          <w:rPr>
            <w:noProof/>
            <w:webHidden/>
          </w:rPr>
          <w:fldChar w:fldCharType="end"/>
        </w:r>
      </w:hyperlink>
    </w:p>
    <w:p w14:paraId="2D935262"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88" w:history="1">
        <w:r w:rsidR="002850A1" w:rsidRPr="004276A7">
          <w:rPr>
            <w:rStyle w:val="Hyperlink"/>
            <w:noProof/>
            <w:lang w:val="en-GB"/>
          </w:rPr>
          <w:t>E.2.</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Heading 2</w:t>
        </w:r>
        <w:r w:rsidR="002850A1">
          <w:rPr>
            <w:noProof/>
            <w:webHidden/>
          </w:rPr>
          <w:tab/>
        </w:r>
        <w:r w:rsidR="002850A1">
          <w:rPr>
            <w:noProof/>
            <w:webHidden/>
          </w:rPr>
          <w:fldChar w:fldCharType="begin"/>
        </w:r>
        <w:r w:rsidR="002850A1">
          <w:rPr>
            <w:noProof/>
            <w:webHidden/>
          </w:rPr>
          <w:instrText xml:space="preserve"> PAGEREF _Toc533261888 \h </w:instrText>
        </w:r>
        <w:r w:rsidR="002850A1">
          <w:rPr>
            <w:noProof/>
            <w:webHidden/>
          </w:rPr>
        </w:r>
        <w:r w:rsidR="002850A1">
          <w:rPr>
            <w:noProof/>
            <w:webHidden/>
          </w:rPr>
          <w:fldChar w:fldCharType="separate"/>
        </w:r>
        <w:r w:rsidR="002850A1">
          <w:rPr>
            <w:noProof/>
            <w:webHidden/>
          </w:rPr>
          <w:t>41</w:t>
        </w:r>
        <w:r w:rsidR="002850A1">
          <w:rPr>
            <w:noProof/>
            <w:webHidden/>
          </w:rPr>
          <w:fldChar w:fldCharType="end"/>
        </w:r>
      </w:hyperlink>
    </w:p>
    <w:p w14:paraId="07CC576A" w14:textId="77777777" w:rsidR="002850A1" w:rsidRDefault="00786F7B" w:rsidP="002850A1">
      <w:pPr>
        <w:pStyle w:val="TOC2"/>
        <w:tabs>
          <w:tab w:val="left" w:pos="880"/>
          <w:tab w:val="right" w:leader="dot" w:pos="9486"/>
        </w:tabs>
        <w:spacing w:after="40" w:line="240" w:lineRule="auto"/>
        <w:rPr>
          <w:rFonts w:asciiTheme="minorHAnsi" w:eastAsiaTheme="minorEastAsia" w:hAnsiTheme="minorHAnsi" w:cstheme="minorBidi"/>
          <w:noProof/>
          <w:szCs w:val="22"/>
          <w:lang w:val="en-GB" w:eastAsia="en-GB"/>
        </w:rPr>
      </w:pPr>
      <w:hyperlink w:anchor="_Toc533261889" w:history="1">
        <w:r w:rsidR="002850A1" w:rsidRPr="004276A7">
          <w:rPr>
            <w:rStyle w:val="Hyperlink"/>
            <w:noProof/>
            <w:lang w:val="en-GB"/>
          </w:rPr>
          <w:t>E.3.</w:t>
        </w:r>
        <w:r w:rsidR="002850A1">
          <w:rPr>
            <w:rFonts w:asciiTheme="minorHAnsi" w:eastAsiaTheme="minorEastAsia" w:hAnsiTheme="minorHAnsi" w:cstheme="minorBidi"/>
            <w:noProof/>
            <w:szCs w:val="22"/>
            <w:lang w:val="en-GB" w:eastAsia="en-GB"/>
          </w:rPr>
          <w:tab/>
        </w:r>
        <w:r w:rsidR="002850A1" w:rsidRPr="004276A7">
          <w:rPr>
            <w:rStyle w:val="Hyperlink"/>
            <w:noProof/>
            <w:lang w:val="en-GB"/>
          </w:rPr>
          <w:t>Heading 2</w:t>
        </w:r>
        <w:r w:rsidR="002850A1">
          <w:rPr>
            <w:noProof/>
            <w:webHidden/>
          </w:rPr>
          <w:tab/>
        </w:r>
        <w:r w:rsidR="002850A1">
          <w:rPr>
            <w:noProof/>
            <w:webHidden/>
          </w:rPr>
          <w:fldChar w:fldCharType="begin"/>
        </w:r>
        <w:r w:rsidR="002850A1">
          <w:rPr>
            <w:noProof/>
            <w:webHidden/>
          </w:rPr>
          <w:instrText xml:space="preserve"> PAGEREF _Toc533261889 \h </w:instrText>
        </w:r>
        <w:r w:rsidR="002850A1">
          <w:rPr>
            <w:noProof/>
            <w:webHidden/>
          </w:rPr>
        </w:r>
        <w:r w:rsidR="002850A1">
          <w:rPr>
            <w:noProof/>
            <w:webHidden/>
          </w:rPr>
          <w:fldChar w:fldCharType="separate"/>
        </w:r>
        <w:r w:rsidR="002850A1">
          <w:rPr>
            <w:noProof/>
            <w:webHidden/>
          </w:rPr>
          <w:t>41</w:t>
        </w:r>
        <w:r w:rsidR="002850A1">
          <w:rPr>
            <w:noProof/>
            <w:webHidden/>
          </w:rPr>
          <w:fldChar w:fldCharType="end"/>
        </w:r>
      </w:hyperlink>
    </w:p>
    <w:p w14:paraId="35E5A838" w14:textId="2884AFE8" w:rsidR="00632334" w:rsidRDefault="00227097" w:rsidP="002850A1">
      <w:pPr>
        <w:spacing w:after="40" w:line="240" w:lineRule="auto"/>
        <w:rPr>
          <w:lang w:val="en-GB"/>
        </w:rPr>
      </w:pPr>
      <w:r>
        <w:lastRenderedPageBreak/>
        <w:fldChar w:fldCharType="end"/>
      </w:r>
      <w:bookmarkStart w:id="174" w:name="_Toc530481388"/>
      <w:bookmarkStart w:id="175" w:name="_Toc530483390"/>
      <w:bookmarkStart w:id="176" w:name="_Toc530488638"/>
      <w:bookmarkStart w:id="177" w:name="_Toc530490108"/>
      <w:bookmarkStart w:id="178" w:name="_Toc530494637"/>
      <w:bookmarkStart w:id="179" w:name="_Toc530495401"/>
      <w:bookmarkStart w:id="180" w:name="_Toc530495502"/>
      <w:bookmarkStart w:id="181" w:name="_Toc530496539"/>
      <w:bookmarkStart w:id="182" w:name="_Toc530498368"/>
      <w:bookmarkStart w:id="183" w:name="_Toc530499812"/>
      <w:bookmarkStart w:id="184" w:name="_Toc530500419"/>
      <w:bookmarkStart w:id="185" w:name="_Toc517687419"/>
    </w:p>
    <w:p w14:paraId="4673365F" w14:textId="77777777" w:rsidR="00632334" w:rsidRDefault="00227097" w:rsidP="00384D20">
      <w:pPr>
        <w:pStyle w:val="Heading1"/>
        <w:pageBreakBefore/>
        <w:numPr>
          <w:ilvl w:val="0"/>
          <w:numId w:val="0"/>
        </w:numPr>
        <w:pBdr>
          <w:top w:val="single" w:sz="4" w:space="0" w:color="000000"/>
          <w:left w:val="single" w:sz="4" w:space="0" w:color="000000"/>
          <w:bottom w:val="single" w:sz="4" w:space="0" w:color="000000"/>
          <w:right w:val="single" w:sz="4" w:space="0" w:color="000000"/>
        </w:pBdr>
        <w:shd w:val="clear" w:color="auto" w:fill="D9D9D9"/>
        <w:spacing w:before="0" w:after="120"/>
        <w:rPr>
          <w:lang w:val="en-GB"/>
        </w:rPr>
      </w:pPr>
      <w:bookmarkStart w:id="186" w:name="_Toc533261802"/>
      <w:bookmarkStart w:id="187" w:name="_Toc498086190"/>
      <w:bookmarkStart w:id="188" w:name="_Toc498086383"/>
      <w:bookmarkStart w:id="189" w:name="_Toc498087061"/>
      <w:bookmarkStart w:id="190" w:name="_Toc498087177"/>
      <w:r>
        <w:rPr>
          <w:lang w:val="en-GB"/>
        </w:rPr>
        <w:lastRenderedPageBreak/>
        <w:t>Executive Summary</w:t>
      </w:r>
      <w:bookmarkEnd w:id="186"/>
    </w:p>
    <w:p w14:paraId="4CF9C609" w14:textId="77777777" w:rsidR="00632334" w:rsidRDefault="00632334" w:rsidP="00512BA9">
      <w:pPr>
        <w:spacing w:after="120"/>
        <w:rPr>
          <w:lang w:val="en-GB"/>
        </w:rPr>
      </w:pPr>
    </w:p>
    <w:p w14:paraId="59B3D687" w14:textId="77777777" w:rsidR="00A57110" w:rsidRDefault="00A57110" w:rsidP="005F46EB">
      <w:pPr>
        <w:pStyle w:val="Heading1"/>
        <w:numPr>
          <w:ilvl w:val="0"/>
          <w:numId w:val="7"/>
        </w:numPr>
        <w:spacing w:before="0" w:after="200"/>
        <w:rPr>
          <w:lang w:val="en-GB"/>
        </w:rPr>
      </w:pPr>
      <w:bookmarkStart w:id="191" w:name="_Toc533261803"/>
      <w:r>
        <w:rPr>
          <w:lang w:val="en-GB"/>
        </w:rPr>
        <w:t>Background</w:t>
      </w:r>
      <w:bookmarkEnd w:id="191"/>
      <w:r>
        <w:rPr>
          <w:lang w:val="en-GB"/>
        </w:rPr>
        <w:t xml:space="preserve"> </w:t>
      </w:r>
    </w:p>
    <w:p w14:paraId="252F13D9" w14:textId="77777777" w:rsidR="00632334" w:rsidRDefault="00227097" w:rsidP="00512BA9">
      <w:pPr>
        <w:jc w:val="both"/>
        <w:rPr>
          <w:rFonts w:asciiTheme="minorHAnsi" w:hAnsiTheme="minorHAnsi"/>
          <w:szCs w:val="22"/>
          <w:lang w:val="en-GB"/>
        </w:rPr>
      </w:pPr>
      <w:r>
        <w:rPr>
          <w:szCs w:val="22"/>
          <w:lang w:val="en-GB"/>
        </w:rPr>
        <w:t xml:space="preserve">The Steering Committee of the Smart Grids Task Force decided, at its meeting of 17/02/2017, to establish a Working Group on Electricity and Gas Data Format and Procedures (hereafter "the Group"). That was to help the Commission prepare the ground for potential secondary legislation, in the context of the Clean Energy </w:t>
      </w:r>
      <w:r>
        <w:rPr>
          <w:rFonts w:asciiTheme="minorHAnsi" w:hAnsiTheme="minorHAnsi"/>
          <w:szCs w:val="22"/>
          <w:lang w:val="en-GB"/>
        </w:rPr>
        <w:t>Package</w:t>
      </w:r>
      <w:r>
        <w:rPr>
          <w:rStyle w:val="FootnoteReference"/>
          <w:rFonts w:asciiTheme="minorHAnsi" w:hAnsiTheme="minorHAnsi"/>
          <w:szCs w:val="22"/>
        </w:rPr>
        <w:footnoteReference w:id="2"/>
      </w:r>
      <w:r>
        <w:rPr>
          <w:rFonts w:asciiTheme="minorHAnsi" w:hAnsiTheme="minorHAnsi"/>
          <w:szCs w:val="22"/>
          <w:lang w:val="en-GB"/>
        </w:rPr>
        <w:t xml:space="preserve">, regarding converging arrangements within the EU for data access and exchange and with the objective of ensuring interoperability of energy related services within the European Union. </w:t>
      </w:r>
    </w:p>
    <w:p w14:paraId="1A1937BD" w14:textId="7434699D" w:rsidR="00632334" w:rsidRDefault="00227097" w:rsidP="00512BA9">
      <w:pPr>
        <w:jc w:val="both"/>
        <w:rPr>
          <w:rFonts w:asciiTheme="minorHAnsi" w:hAnsiTheme="minorHAnsi"/>
          <w:lang w:val="en-GB"/>
        </w:rPr>
      </w:pPr>
      <w:r>
        <w:rPr>
          <w:szCs w:val="22"/>
          <w:lang w:val="en-GB"/>
        </w:rPr>
        <w:t xml:space="preserve">The Group was asked to map national practices for data access and exchange, consider available options for making them interoperable, and finally frame its recommendations to advise the Commission what to consider or not under further secondary legislation. </w:t>
      </w:r>
      <w:r>
        <w:rPr>
          <w:rFonts w:asciiTheme="minorHAnsi" w:hAnsiTheme="minorHAnsi"/>
          <w:szCs w:val="22"/>
          <w:lang w:val="en-GB"/>
        </w:rPr>
        <w:t xml:space="preserve">The Group </w:t>
      </w:r>
      <w:r w:rsidR="00C93881">
        <w:rPr>
          <w:rFonts w:asciiTheme="minorHAnsi" w:hAnsiTheme="minorHAnsi"/>
          <w:szCs w:val="22"/>
          <w:lang w:val="en-GB"/>
        </w:rPr>
        <w:t>appreciate</w:t>
      </w:r>
      <w:r w:rsidR="005D1CE8">
        <w:rPr>
          <w:rFonts w:asciiTheme="minorHAnsi" w:hAnsiTheme="minorHAnsi"/>
          <w:szCs w:val="22"/>
          <w:lang w:val="en-GB"/>
        </w:rPr>
        <w:t>d</w:t>
      </w:r>
      <w:r w:rsidR="00C93881">
        <w:rPr>
          <w:rFonts w:asciiTheme="minorHAnsi" w:hAnsiTheme="minorHAnsi"/>
          <w:szCs w:val="22"/>
          <w:lang w:val="en-GB"/>
        </w:rPr>
        <w:t xml:space="preserve"> </w:t>
      </w:r>
      <w:r>
        <w:rPr>
          <w:rFonts w:asciiTheme="minorHAnsi" w:hAnsiTheme="minorHAnsi"/>
          <w:szCs w:val="22"/>
          <w:lang w:val="en-GB"/>
        </w:rPr>
        <w:t xml:space="preserve">that </w:t>
      </w:r>
      <w:r>
        <w:rPr>
          <w:rFonts w:asciiTheme="minorHAnsi" w:hAnsiTheme="minorHAnsi"/>
          <w:lang w:val="en-GB"/>
        </w:rPr>
        <w:t xml:space="preserve">it </w:t>
      </w:r>
      <w:r w:rsidR="005D1CE8">
        <w:rPr>
          <w:rFonts w:asciiTheme="minorHAnsi" w:hAnsiTheme="minorHAnsi"/>
          <w:lang w:val="en-GB"/>
        </w:rPr>
        <w:t>is</w:t>
      </w:r>
      <w:r>
        <w:rPr>
          <w:rFonts w:asciiTheme="minorHAnsi" w:hAnsiTheme="minorHAnsi"/>
          <w:lang w:val="en-GB"/>
        </w:rPr>
        <w:t xml:space="preserve"> important to establish the optimum balance between realising the benefits of convergence and flexibility</w:t>
      </w:r>
      <w:r w:rsidR="00BA157C">
        <w:rPr>
          <w:rFonts w:asciiTheme="minorHAnsi" w:hAnsiTheme="minorHAnsi"/>
          <w:lang w:val="en-GB"/>
        </w:rPr>
        <w:t>. This should be done</w:t>
      </w:r>
      <w:r>
        <w:rPr>
          <w:rFonts w:asciiTheme="minorHAnsi" w:hAnsiTheme="minorHAnsi"/>
          <w:lang w:val="en-GB"/>
        </w:rPr>
        <w:t xml:space="preserve"> </w:t>
      </w:r>
      <w:r w:rsidRPr="00BA157C">
        <w:rPr>
          <w:rFonts w:asciiTheme="minorHAnsi" w:hAnsiTheme="minorHAnsi"/>
          <w:lang w:val="en-GB"/>
        </w:rPr>
        <w:t xml:space="preserve">whilst </w:t>
      </w:r>
      <w:r w:rsidR="00610001" w:rsidRPr="00BA157C">
        <w:rPr>
          <w:rFonts w:asciiTheme="minorHAnsi" w:hAnsiTheme="minorHAnsi"/>
          <w:lang w:val="en-GB"/>
        </w:rPr>
        <w:t xml:space="preserve">limiting </w:t>
      </w:r>
      <w:r w:rsidR="00BE7DF9" w:rsidRPr="00BA157C">
        <w:rPr>
          <w:rFonts w:asciiTheme="minorHAnsi" w:hAnsiTheme="minorHAnsi"/>
          <w:lang w:val="en-GB"/>
        </w:rPr>
        <w:t xml:space="preserve">the additional </w:t>
      </w:r>
      <w:r w:rsidR="00610001" w:rsidRPr="00BA157C">
        <w:rPr>
          <w:rFonts w:asciiTheme="minorHAnsi" w:hAnsiTheme="minorHAnsi"/>
          <w:lang w:val="en-GB"/>
        </w:rPr>
        <w:t>costs that will have to be borne by the consumer and</w:t>
      </w:r>
      <w:r w:rsidRPr="00BA157C">
        <w:rPr>
          <w:rFonts w:asciiTheme="minorHAnsi" w:hAnsiTheme="minorHAnsi"/>
          <w:lang w:val="en-GB"/>
        </w:rPr>
        <w:t xml:space="preserve"> continuing</w:t>
      </w:r>
      <w:r>
        <w:rPr>
          <w:rFonts w:asciiTheme="minorHAnsi" w:hAnsiTheme="minorHAnsi"/>
          <w:lang w:val="en-GB"/>
        </w:rPr>
        <w:t xml:space="preserve"> to accommodate specific requirements of individual Member States.</w:t>
      </w:r>
    </w:p>
    <w:p w14:paraId="547C0136" w14:textId="46EBAE55" w:rsidR="00632334" w:rsidRDefault="00227097" w:rsidP="00512BA9">
      <w:pPr>
        <w:jc w:val="both"/>
        <w:rPr>
          <w:rFonts w:asciiTheme="minorHAnsi" w:hAnsiTheme="minorHAnsi"/>
          <w:b/>
          <w:szCs w:val="22"/>
          <w:lang w:val="en-GB"/>
        </w:rPr>
      </w:pPr>
      <w:r w:rsidRPr="0034426B">
        <w:rPr>
          <w:szCs w:val="22"/>
          <w:lang w:val="en-GB"/>
        </w:rPr>
        <w:t xml:space="preserve">This report presents </w:t>
      </w:r>
      <w:r w:rsidR="005D1CE8">
        <w:rPr>
          <w:szCs w:val="22"/>
          <w:lang w:val="en-GB"/>
        </w:rPr>
        <w:t xml:space="preserve">the key Group’s key findings, </w:t>
      </w:r>
      <w:r w:rsidRPr="0034426B">
        <w:rPr>
          <w:szCs w:val="22"/>
          <w:lang w:val="en-GB"/>
        </w:rPr>
        <w:t>its reflection</w:t>
      </w:r>
      <w:r w:rsidR="005D1CE8">
        <w:rPr>
          <w:szCs w:val="22"/>
          <w:lang w:val="en-GB"/>
        </w:rPr>
        <w:t xml:space="preserve"> and a list of recommendations</w:t>
      </w:r>
      <w:r w:rsidRPr="0034426B">
        <w:rPr>
          <w:szCs w:val="22"/>
          <w:lang w:val="en-GB"/>
        </w:rPr>
        <w:t xml:space="preserve"> on how best to proceed </w:t>
      </w:r>
      <w:r w:rsidR="005D1CE8">
        <w:rPr>
          <w:szCs w:val="22"/>
          <w:lang w:val="en-GB"/>
        </w:rPr>
        <w:t xml:space="preserve">with the arrangements for data access and exchange within the EU in order to facilitate interoperability of energy services.  </w:t>
      </w:r>
    </w:p>
    <w:p w14:paraId="629079E2" w14:textId="25CB353A" w:rsidR="006910A1" w:rsidRDefault="005D1CE8" w:rsidP="005F46EB">
      <w:pPr>
        <w:pStyle w:val="Heading1"/>
        <w:numPr>
          <w:ilvl w:val="0"/>
          <w:numId w:val="7"/>
        </w:numPr>
        <w:spacing w:before="0" w:after="200"/>
        <w:rPr>
          <w:lang w:val="en-GB"/>
        </w:rPr>
      </w:pPr>
      <w:bookmarkStart w:id="192" w:name="_Toc533261804"/>
      <w:r>
        <w:rPr>
          <w:lang w:val="en-GB"/>
        </w:rPr>
        <w:t>Approach</w:t>
      </w:r>
      <w:bookmarkEnd w:id="192"/>
    </w:p>
    <w:p w14:paraId="0A68F48D" w14:textId="77777777" w:rsidR="00A57110" w:rsidRPr="006910A1" w:rsidRDefault="00A57110" w:rsidP="005F46EB">
      <w:pPr>
        <w:pStyle w:val="Heading1"/>
        <w:numPr>
          <w:ilvl w:val="0"/>
          <w:numId w:val="8"/>
        </w:numPr>
        <w:spacing w:before="0" w:after="200"/>
        <w:rPr>
          <w:lang w:val="en-GB"/>
        </w:rPr>
      </w:pPr>
      <w:bookmarkStart w:id="193" w:name="_Toc533261805"/>
      <w:r w:rsidRPr="006910A1">
        <w:rPr>
          <w:lang w:val="en-GB"/>
        </w:rPr>
        <w:t>Key findings</w:t>
      </w:r>
      <w:bookmarkEnd w:id="193"/>
    </w:p>
    <w:p w14:paraId="778CFB6B" w14:textId="77777777" w:rsidR="00A57110" w:rsidRPr="006910A1" w:rsidRDefault="00A57110" w:rsidP="005F46EB">
      <w:pPr>
        <w:pStyle w:val="Heading2"/>
        <w:numPr>
          <w:ilvl w:val="1"/>
          <w:numId w:val="8"/>
        </w:numPr>
        <w:spacing w:after="200"/>
        <w:ind w:left="788" w:hanging="431"/>
        <w:rPr>
          <w:lang w:val="en-GB"/>
        </w:rPr>
      </w:pPr>
      <w:bookmarkStart w:id="194" w:name="_Toc533261806"/>
      <w:r w:rsidRPr="006910A1">
        <w:rPr>
          <w:lang w:val="en-GB"/>
        </w:rPr>
        <w:t>General on interoperability</w:t>
      </w:r>
      <w:bookmarkEnd w:id="194"/>
    </w:p>
    <w:p w14:paraId="76963406" w14:textId="77777777" w:rsidR="00A57110" w:rsidRPr="006910A1" w:rsidRDefault="00A57110" w:rsidP="005F46EB">
      <w:pPr>
        <w:pStyle w:val="Heading2"/>
        <w:numPr>
          <w:ilvl w:val="1"/>
          <w:numId w:val="8"/>
        </w:numPr>
        <w:spacing w:after="200"/>
        <w:ind w:left="788" w:hanging="431"/>
        <w:rPr>
          <w:lang w:val="en-GB"/>
        </w:rPr>
      </w:pPr>
      <w:bookmarkStart w:id="195" w:name="_Toc533261807"/>
      <w:r w:rsidRPr="006910A1">
        <w:rPr>
          <w:lang w:val="en-GB"/>
        </w:rPr>
        <w:t>Existing services</w:t>
      </w:r>
      <w:bookmarkEnd w:id="195"/>
    </w:p>
    <w:p w14:paraId="7B56C9A1" w14:textId="77777777" w:rsidR="00A57110" w:rsidRPr="006910A1" w:rsidRDefault="00A57110" w:rsidP="005F46EB">
      <w:pPr>
        <w:pStyle w:val="Heading3"/>
        <w:numPr>
          <w:ilvl w:val="2"/>
          <w:numId w:val="8"/>
        </w:numPr>
        <w:spacing w:after="120"/>
        <w:ind w:left="1225" w:hanging="505"/>
        <w:rPr>
          <w:lang w:val="en-GB"/>
        </w:rPr>
      </w:pPr>
      <w:bookmarkStart w:id="196" w:name="_Toc533261808"/>
      <w:r w:rsidRPr="006910A1">
        <w:rPr>
          <w:lang w:val="en-GB"/>
        </w:rPr>
        <w:t>Billing</w:t>
      </w:r>
      <w:bookmarkEnd w:id="196"/>
    </w:p>
    <w:p w14:paraId="4B8224A4" w14:textId="77777777" w:rsidR="00A57110" w:rsidRPr="006910A1" w:rsidRDefault="00A57110" w:rsidP="005F46EB">
      <w:pPr>
        <w:pStyle w:val="Heading4"/>
        <w:numPr>
          <w:ilvl w:val="3"/>
          <w:numId w:val="8"/>
        </w:numPr>
        <w:spacing w:after="120"/>
        <w:ind w:left="1723" w:hanging="646"/>
      </w:pPr>
      <w:bookmarkStart w:id="197" w:name="_Toc533261809"/>
      <w:r w:rsidRPr="006910A1">
        <w:t>Subheading 1</w:t>
      </w:r>
      <w:bookmarkEnd w:id="197"/>
    </w:p>
    <w:p w14:paraId="410FE740" w14:textId="77777777" w:rsidR="00A57110" w:rsidRPr="006910A1" w:rsidRDefault="00A57110" w:rsidP="005F46EB">
      <w:pPr>
        <w:pStyle w:val="Heading3"/>
        <w:numPr>
          <w:ilvl w:val="2"/>
          <w:numId w:val="8"/>
        </w:numPr>
        <w:spacing w:after="120"/>
        <w:ind w:left="1225" w:hanging="505"/>
        <w:rPr>
          <w:lang w:val="en-GB"/>
        </w:rPr>
      </w:pPr>
      <w:bookmarkStart w:id="198" w:name="_Toc533261810"/>
      <w:r w:rsidRPr="006910A1">
        <w:rPr>
          <w:lang w:val="en-GB"/>
        </w:rPr>
        <w:t>Change of supplier process</w:t>
      </w:r>
      <w:bookmarkEnd w:id="198"/>
    </w:p>
    <w:p w14:paraId="1A27471D" w14:textId="77777777" w:rsidR="00A57110" w:rsidRPr="006910A1" w:rsidRDefault="00A57110" w:rsidP="005F46EB">
      <w:pPr>
        <w:pStyle w:val="Heading4"/>
        <w:numPr>
          <w:ilvl w:val="3"/>
          <w:numId w:val="8"/>
        </w:numPr>
        <w:spacing w:after="120"/>
        <w:ind w:left="1723" w:hanging="646"/>
      </w:pPr>
      <w:bookmarkStart w:id="199" w:name="_Toc533261811"/>
      <w:r w:rsidRPr="006910A1">
        <w:t>Subheading 1</w:t>
      </w:r>
      <w:bookmarkEnd w:id="199"/>
    </w:p>
    <w:p w14:paraId="10664AA2" w14:textId="77777777" w:rsidR="00A57110" w:rsidRPr="006910A1" w:rsidRDefault="00A57110" w:rsidP="005F46EB">
      <w:pPr>
        <w:pStyle w:val="Heading2"/>
        <w:numPr>
          <w:ilvl w:val="1"/>
          <w:numId w:val="8"/>
        </w:numPr>
        <w:spacing w:after="200"/>
        <w:ind w:left="788" w:hanging="431"/>
        <w:rPr>
          <w:lang w:val="en-GB"/>
        </w:rPr>
      </w:pPr>
      <w:bookmarkStart w:id="200" w:name="_Toc533261812"/>
      <w:r w:rsidRPr="006910A1">
        <w:rPr>
          <w:lang w:val="en-GB"/>
        </w:rPr>
        <w:t>Emerging services</w:t>
      </w:r>
      <w:bookmarkEnd w:id="200"/>
    </w:p>
    <w:p w14:paraId="15B09FA9" w14:textId="2B45B7D4" w:rsidR="00C82EDF" w:rsidRDefault="00C82EDF" w:rsidP="00C82EDF">
      <w:pPr>
        <w:pStyle w:val="Heading3"/>
        <w:numPr>
          <w:ilvl w:val="2"/>
          <w:numId w:val="8"/>
        </w:numPr>
        <w:spacing w:after="120"/>
        <w:rPr>
          <w:lang w:val="en-GB"/>
        </w:rPr>
      </w:pPr>
      <w:bookmarkStart w:id="201" w:name="_Toc533261813"/>
      <w:r>
        <w:rPr>
          <w:lang w:val="en-GB"/>
        </w:rPr>
        <w:t>Subheading</w:t>
      </w:r>
      <w:bookmarkEnd w:id="201"/>
    </w:p>
    <w:p w14:paraId="1341661A" w14:textId="77777777" w:rsidR="00C82EDF" w:rsidRDefault="00C82EDF" w:rsidP="00C82EDF">
      <w:pPr>
        <w:pStyle w:val="Heading3"/>
        <w:numPr>
          <w:ilvl w:val="2"/>
          <w:numId w:val="8"/>
        </w:numPr>
        <w:spacing w:after="120"/>
        <w:rPr>
          <w:lang w:val="en-GB"/>
        </w:rPr>
      </w:pPr>
      <w:bookmarkStart w:id="202" w:name="_Toc533261814"/>
      <w:r>
        <w:rPr>
          <w:lang w:val="en-GB"/>
        </w:rPr>
        <w:t>Subheading</w:t>
      </w:r>
      <w:bookmarkEnd w:id="202"/>
    </w:p>
    <w:p w14:paraId="2CAA0939" w14:textId="77777777" w:rsidR="00C82EDF" w:rsidRPr="00C82EDF" w:rsidRDefault="00C82EDF" w:rsidP="00C82EDF">
      <w:pPr>
        <w:rPr>
          <w:lang w:val="en-GB"/>
        </w:rPr>
      </w:pPr>
    </w:p>
    <w:p w14:paraId="11F6A040" w14:textId="10D0B141" w:rsidR="00A57110" w:rsidRPr="006910A1" w:rsidRDefault="00A57110" w:rsidP="00DB3492">
      <w:pPr>
        <w:rPr>
          <w:rFonts w:ascii="Cambria" w:hAnsi="Cambria" w:cs="Times New Roman"/>
          <w:b/>
          <w:color w:val="4F81BD"/>
          <w:sz w:val="24"/>
          <w:szCs w:val="24"/>
          <w:lang w:val="en-GB"/>
        </w:rPr>
      </w:pPr>
    </w:p>
    <w:p w14:paraId="76048067" w14:textId="12B91B27" w:rsidR="006910A1" w:rsidRPr="006910A1" w:rsidRDefault="006910A1" w:rsidP="005F46EB">
      <w:pPr>
        <w:pStyle w:val="Heading1"/>
        <w:numPr>
          <w:ilvl w:val="0"/>
          <w:numId w:val="8"/>
        </w:numPr>
        <w:spacing w:before="0" w:after="200"/>
        <w:rPr>
          <w:lang w:val="en-GB"/>
        </w:rPr>
      </w:pPr>
      <w:bookmarkStart w:id="203" w:name="_Toc533261815"/>
      <w:r w:rsidRPr="006910A1">
        <w:rPr>
          <w:lang w:val="en-GB"/>
        </w:rPr>
        <w:t>Recommendations</w:t>
      </w:r>
      <w:bookmarkEnd w:id="203"/>
      <w:r w:rsidR="00C82EDF">
        <w:rPr>
          <w:lang w:val="en-GB"/>
        </w:rPr>
        <w:t xml:space="preserve"> </w:t>
      </w:r>
    </w:p>
    <w:p w14:paraId="25BEE701" w14:textId="184BCE65" w:rsidR="006910A1" w:rsidRDefault="006910A1" w:rsidP="005F46EB">
      <w:pPr>
        <w:pStyle w:val="Heading2"/>
        <w:numPr>
          <w:ilvl w:val="1"/>
          <w:numId w:val="8"/>
        </w:numPr>
        <w:spacing w:after="200"/>
        <w:ind w:left="788" w:hanging="431"/>
        <w:rPr>
          <w:lang w:val="en-GB"/>
        </w:rPr>
      </w:pPr>
      <w:bookmarkStart w:id="204" w:name="_Toc533261816"/>
      <w:r w:rsidRPr="006910A1">
        <w:rPr>
          <w:lang w:val="en-GB"/>
        </w:rPr>
        <w:t>General</w:t>
      </w:r>
      <w:r w:rsidR="00C82EDF">
        <w:rPr>
          <w:lang w:val="en-GB"/>
        </w:rPr>
        <w:t xml:space="preserve"> on interoperability requirements and procedures</w:t>
      </w:r>
      <w:bookmarkEnd w:id="204"/>
      <w:r w:rsidRPr="006910A1">
        <w:rPr>
          <w:lang w:val="en-GB"/>
        </w:rPr>
        <w:t xml:space="preserve"> </w:t>
      </w:r>
    </w:p>
    <w:p w14:paraId="36D7B129" w14:textId="01BA3DF7" w:rsidR="00F1180F" w:rsidRPr="006910A1" w:rsidRDefault="00F1180F" w:rsidP="00F1180F">
      <w:pPr>
        <w:pStyle w:val="Heading3"/>
        <w:numPr>
          <w:ilvl w:val="2"/>
          <w:numId w:val="8"/>
        </w:numPr>
        <w:spacing w:after="120"/>
        <w:rPr>
          <w:lang w:val="en-GB"/>
        </w:rPr>
      </w:pPr>
      <w:bookmarkStart w:id="205" w:name="_Toc533261817"/>
      <w:r w:rsidRPr="006910A1">
        <w:rPr>
          <w:lang w:val="en-GB"/>
        </w:rPr>
        <w:t>B</w:t>
      </w:r>
      <w:r>
        <w:rPr>
          <w:lang w:val="en-GB"/>
        </w:rPr>
        <w:t>usiness requirements shall be technology-neutral</w:t>
      </w:r>
      <w:bookmarkEnd w:id="205"/>
    </w:p>
    <w:p w14:paraId="2ED0DB65" w14:textId="336E6EDF" w:rsidR="000F5267" w:rsidRDefault="000F5267" w:rsidP="000F5267">
      <w:pPr>
        <w:rPr>
          <w:lang w:val="en-US"/>
        </w:rPr>
      </w:pPr>
      <w:r>
        <w:rPr>
          <w:lang w:val="en-US"/>
        </w:rPr>
        <w:t xml:space="preserve">When defining business requirements in an upcoming Implementation Act or other legislative action, they should be formulated in a technology- and architecture-neutral way. It must be assured that the formulation of these requirements do not </w:t>
      </w:r>
      <w:r w:rsidR="007D7535">
        <w:rPr>
          <w:lang w:val="en-US"/>
        </w:rPr>
        <w:t xml:space="preserve">give preference to implementation details that should be defined by the member states. Business Use Case methodology is a suitable approach for the undertaking. </w:t>
      </w:r>
    </w:p>
    <w:p w14:paraId="35B4ED73" w14:textId="6335B178" w:rsidR="007D7535" w:rsidRDefault="007D7535" w:rsidP="007D7535">
      <w:pPr>
        <w:jc w:val="center"/>
        <w:rPr>
          <w:lang w:val="en-US"/>
        </w:rPr>
      </w:pPr>
      <w:r>
        <w:rPr>
          <w:noProof/>
          <w:lang w:val="en-GB" w:eastAsia="en-GB"/>
        </w:rPr>
        <w:drawing>
          <wp:inline distT="0" distB="0" distL="0" distR="0" wp14:anchorId="16824FDD" wp14:editId="324FBF04">
            <wp:extent cx="2566670" cy="1779901"/>
            <wp:effectExtent l="0" t="0" r="5080" b="0"/>
            <wp:docPr id="12" name="Image 2"/>
            <wp:cNvGraphicFramePr/>
            <a:graphic xmlns:a="http://schemas.openxmlformats.org/drawingml/2006/main">
              <a:graphicData uri="http://schemas.openxmlformats.org/drawingml/2006/picture">
                <pic:pic xmlns:pic="http://schemas.openxmlformats.org/drawingml/2006/picture">
                  <pic:nvPicPr>
                    <pic:cNvPr id="12" name="Imag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7071" cy="1814852"/>
                    </a:xfrm>
                    <a:prstGeom prst="rect">
                      <a:avLst/>
                    </a:prstGeom>
                    <a:noFill/>
                  </pic:spPr>
                </pic:pic>
              </a:graphicData>
            </a:graphic>
          </wp:inline>
        </w:drawing>
      </w:r>
      <w:r w:rsidR="007D70E2">
        <w:rPr>
          <w:noProof/>
          <w:lang w:val="en-GB" w:eastAsia="en-GB"/>
        </w:rPr>
        <w:drawing>
          <wp:inline distT="0" distB="0" distL="0" distR="0" wp14:anchorId="1DE630AC" wp14:editId="22E5F56D">
            <wp:extent cx="3364210" cy="1730375"/>
            <wp:effectExtent l="0" t="0" r="8255" b="3175"/>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a:extLst>
                        <a:ext uri="{28A0092B-C50C-407E-A947-70E740481C1C}">
                          <a14:useLocalDpi xmlns:a14="http://schemas.microsoft.com/office/drawing/2010/main" val="0"/>
                        </a:ext>
                      </a:extLst>
                    </a:blip>
                    <a:stretch>
                      <a:fillRect/>
                    </a:stretch>
                  </pic:blipFill>
                  <pic:spPr>
                    <a:xfrm>
                      <a:off x="0" y="0"/>
                      <a:ext cx="3381232" cy="1739130"/>
                    </a:xfrm>
                    <a:prstGeom prst="rect">
                      <a:avLst/>
                    </a:prstGeom>
                  </pic:spPr>
                </pic:pic>
              </a:graphicData>
            </a:graphic>
          </wp:inline>
        </w:drawing>
      </w:r>
    </w:p>
    <w:p w14:paraId="024C17AF" w14:textId="72B6779A" w:rsidR="007D70E2" w:rsidRDefault="007D70E2" w:rsidP="00B039FD">
      <w:pPr>
        <w:rPr>
          <w:lang w:val="en-US"/>
        </w:rPr>
      </w:pPr>
      <w:r>
        <w:rPr>
          <w:lang w:val="en-US"/>
        </w:rPr>
        <w:t>As shown in Figure XXX above, the BUCs (Business Use Cases) would focus on the Business Requirements and following them, SUCs (System Use Cases) can be developed to fit national or regional environments.</w:t>
      </w:r>
      <w:r w:rsidR="00384978">
        <w:rPr>
          <w:lang w:val="en-US"/>
        </w:rPr>
        <w:t xml:space="preserve"> This will emphasize a good level of interoperability whilst </w:t>
      </w:r>
      <w:r w:rsidR="00B039FD">
        <w:rPr>
          <w:lang w:val="en-US"/>
        </w:rPr>
        <w:t>respecting</w:t>
      </w:r>
      <w:r w:rsidR="00384978">
        <w:rPr>
          <w:lang w:val="en-US"/>
        </w:rPr>
        <w:t xml:space="preserve"> subsidia</w:t>
      </w:r>
      <w:r w:rsidR="00B039FD">
        <w:rPr>
          <w:lang w:val="en-US"/>
        </w:rPr>
        <w:t>rity and leaving room for innovation and regional optima.</w:t>
      </w:r>
    </w:p>
    <w:p w14:paraId="5D174987" w14:textId="2262B1E6" w:rsidR="00D37E8D" w:rsidRDefault="00D37E8D" w:rsidP="00B039FD">
      <w:pPr>
        <w:rPr>
          <w:lang w:val="en-US"/>
        </w:rPr>
      </w:pPr>
      <w:r>
        <w:rPr>
          <w:lang w:val="en-US"/>
        </w:rPr>
        <w:t xml:space="preserve">In the context of this recommendation it also has to be underlined that countries are starting from very different baselines - </w:t>
      </w:r>
      <w:r w:rsidRPr="00B97E88">
        <w:rPr>
          <w:lang w:val="en-GB"/>
        </w:rPr>
        <w:t xml:space="preserve">for example 80 percent </w:t>
      </w:r>
      <w:r>
        <w:rPr>
          <w:lang w:val="en-GB"/>
        </w:rPr>
        <w:t>in one country</w:t>
      </w:r>
      <w:r w:rsidRPr="00B97E88">
        <w:rPr>
          <w:lang w:val="en-GB"/>
        </w:rPr>
        <w:t xml:space="preserve"> pay their energy bill cash up-front, whereas one third of consumers</w:t>
      </w:r>
      <w:r>
        <w:rPr>
          <w:lang w:val="en-GB"/>
        </w:rPr>
        <w:t xml:space="preserve"> in another country</w:t>
      </w:r>
      <w:r w:rsidRPr="00B97E88">
        <w:rPr>
          <w:lang w:val="en-GB"/>
        </w:rPr>
        <w:t xml:space="preserve"> pay for their electricity based on hourly spot price</w:t>
      </w:r>
      <w:r w:rsidR="008679A6">
        <w:rPr>
          <w:lang w:val="en-GB"/>
        </w:rPr>
        <w:t xml:space="preserve"> (see D4 - Introduction)</w:t>
      </w:r>
      <w:r>
        <w:rPr>
          <w:lang w:val="en-GB"/>
        </w:rPr>
        <w:t>.</w:t>
      </w:r>
      <w:r w:rsidR="00B74844">
        <w:rPr>
          <w:lang w:val="en-GB"/>
        </w:rPr>
        <w:t xml:space="preserve"> Making these ends meet when defining requirements can only be achieved by focussing on the business requirements and leaving room for adaptive national technical solutions.</w:t>
      </w:r>
    </w:p>
    <w:p w14:paraId="2D5D2618" w14:textId="096666F6" w:rsidR="00D37E8D" w:rsidRDefault="002E7FC8" w:rsidP="00B039FD">
      <w:pPr>
        <w:rPr>
          <w:lang w:val="en-US"/>
        </w:rPr>
      </w:pPr>
      <w:r>
        <w:rPr>
          <w:lang w:val="en-US"/>
        </w:rPr>
        <w:t>A good example for such a technology-neutral Business Requirement</w:t>
      </w:r>
      <w:r w:rsidR="00042C3B">
        <w:rPr>
          <w:lang w:val="en-US"/>
        </w:rPr>
        <w:t xml:space="preserve"> (just with respect to the aspect discussed here)</w:t>
      </w:r>
      <w:r>
        <w:rPr>
          <w:lang w:val="en-US"/>
        </w:rPr>
        <w:t xml:space="preserve"> is “</w:t>
      </w:r>
      <w:r w:rsidR="00042C3B">
        <w:rPr>
          <w:lang w:val="en-US"/>
        </w:rPr>
        <w:t xml:space="preserve">An average switch of supplier must be done within 24 hours.” This leaves room for the national implementation whilst retaining the focus on the </w:t>
      </w:r>
      <w:r w:rsidR="00F731AB">
        <w:rPr>
          <w:lang w:val="en-US"/>
        </w:rPr>
        <w:t>vision</w:t>
      </w:r>
      <w:r w:rsidR="00042C3B">
        <w:rPr>
          <w:lang w:val="en-US"/>
        </w:rPr>
        <w:t>.</w:t>
      </w:r>
      <w:r w:rsidR="00DB0875">
        <w:rPr>
          <w:lang w:val="en-US"/>
        </w:rPr>
        <w:t xml:space="preserve"> Business Use Cases should also use terms and terminology of the Common Role Model and Common Information Model</w:t>
      </w:r>
      <w:r w:rsidR="008340E3">
        <w:rPr>
          <w:lang w:val="en-US"/>
        </w:rPr>
        <w:t xml:space="preserve"> for coherence.</w:t>
      </w:r>
    </w:p>
    <w:p w14:paraId="70008462" w14:textId="22165918" w:rsidR="000F5267" w:rsidRPr="00F1180F" w:rsidRDefault="005800D9" w:rsidP="00F1180F">
      <w:pPr>
        <w:pStyle w:val="Heading3"/>
        <w:numPr>
          <w:ilvl w:val="2"/>
          <w:numId w:val="8"/>
        </w:numPr>
        <w:spacing w:after="120"/>
        <w:rPr>
          <w:lang w:val="en-GB"/>
        </w:rPr>
      </w:pPr>
      <w:bookmarkStart w:id="206" w:name="_Toc533261818"/>
      <w:r>
        <w:t xml:space="preserve">R05 </w:t>
      </w:r>
      <w:r w:rsidR="000F5267">
        <w:t>Use a common approach focusing on the Business Layer leaving the implementation details for the System Level below to the Member State environment</w:t>
      </w:r>
      <w:bookmarkEnd w:id="206"/>
    </w:p>
    <w:p w14:paraId="38D1D560" w14:textId="77777777" w:rsidR="0097457D" w:rsidRDefault="00FF466A" w:rsidP="000F5267">
      <w:pPr>
        <w:rPr>
          <w:lang w:val="en-US"/>
        </w:rPr>
      </w:pPr>
      <w:r>
        <w:rPr>
          <w:lang w:val="en-US"/>
        </w:rPr>
        <w:t xml:space="preserve">As (provisionally) agreed in the recast Electricity Directive </w:t>
      </w:r>
      <w:r w:rsidRPr="00761B2C">
        <w:rPr>
          <w:b/>
          <w:color w:val="FF0000"/>
          <w:lang w:val="en-US"/>
        </w:rPr>
        <w:t>[ref please],</w:t>
      </w:r>
      <w:r w:rsidRPr="00761B2C">
        <w:rPr>
          <w:color w:val="FF0000"/>
          <w:lang w:val="en-US"/>
        </w:rPr>
        <w:t xml:space="preserve"> </w:t>
      </w:r>
      <w:r>
        <w:rPr>
          <w:lang w:val="en-US"/>
        </w:rPr>
        <w:t xml:space="preserve">“Member States shall ensure that electricity undertakings apply these interoperability requirements and procedures, which shall be built on existing national practices”. Our research showed that a good approach would be to focus on </w:t>
      </w:r>
    </w:p>
    <w:p w14:paraId="0B608BE5" w14:textId="77777777" w:rsidR="0097457D" w:rsidRDefault="00FF466A" w:rsidP="0097457D">
      <w:pPr>
        <w:pStyle w:val="ListParagraph"/>
        <w:numPr>
          <w:ilvl w:val="0"/>
          <w:numId w:val="28"/>
        </w:numPr>
        <w:rPr>
          <w:lang w:val="en-US"/>
        </w:rPr>
      </w:pPr>
      <w:r w:rsidRPr="0097457D">
        <w:rPr>
          <w:lang w:val="en-US"/>
        </w:rPr>
        <w:t xml:space="preserve">the Business Layer and </w:t>
      </w:r>
    </w:p>
    <w:p w14:paraId="4C11BE74" w14:textId="77777777" w:rsidR="0097457D" w:rsidRDefault="00FF466A" w:rsidP="0097457D">
      <w:pPr>
        <w:pStyle w:val="ListParagraph"/>
        <w:numPr>
          <w:ilvl w:val="0"/>
          <w:numId w:val="28"/>
        </w:numPr>
        <w:rPr>
          <w:lang w:val="en-US"/>
        </w:rPr>
      </w:pPr>
      <w:r w:rsidRPr="0097457D">
        <w:rPr>
          <w:lang w:val="en-US"/>
        </w:rPr>
        <w:t xml:space="preserve">the Information Layer </w:t>
      </w:r>
    </w:p>
    <w:p w14:paraId="1828F19E" w14:textId="143B900B" w:rsidR="000F5267" w:rsidRPr="0097457D" w:rsidRDefault="00FF466A" w:rsidP="0097457D">
      <w:pPr>
        <w:rPr>
          <w:lang w:val="en-US"/>
        </w:rPr>
      </w:pPr>
      <w:r w:rsidRPr="0097457D">
        <w:rPr>
          <w:lang w:val="en-US"/>
        </w:rPr>
        <w:lastRenderedPageBreak/>
        <w:t>to define convergence targets (please see SGAM</w:t>
      </w:r>
      <w:r>
        <w:rPr>
          <w:rStyle w:val="FootnoteReference"/>
          <w:lang w:val="en-US"/>
        </w:rPr>
        <w:footnoteReference w:id="3"/>
      </w:r>
      <w:r w:rsidR="001D040E" w:rsidRPr="0097457D">
        <w:rPr>
          <w:lang w:val="en-US"/>
        </w:rPr>
        <w:t xml:space="preserve"> </w:t>
      </w:r>
      <w:r w:rsidRPr="0097457D">
        <w:rPr>
          <w:lang w:val="en-US"/>
        </w:rPr>
        <w:t xml:space="preserve">page </w:t>
      </w:r>
      <w:r w:rsidR="001D040E" w:rsidRPr="0097457D">
        <w:rPr>
          <w:lang w:val="en-US"/>
        </w:rPr>
        <w:t>30) for a detailed explanation of Figure XX below</w:t>
      </w:r>
      <w:r w:rsidRPr="0097457D">
        <w:rPr>
          <w:lang w:val="en-US"/>
        </w:rPr>
        <w:t>.</w:t>
      </w:r>
    </w:p>
    <w:p w14:paraId="667C941C" w14:textId="3D4930D6" w:rsidR="001D040E" w:rsidRDefault="001D040E" w:rsidP="001D040E">
      <w:pPr>
        <w:jc w:val="center"/>
        <w:rPr>
          <w:lang w:val="en-US"/>
        </w:rPr>
      </w:pPr>
      <w:r>
        <w:rPr>
          <w:noProof/>
          <w:lang w:val="en-GB" w:eastAsia="en-GB"/>
        </w:rPr>
        <w:drawing>
          <wp:inline distT="0" distB="0" distL="0" distR="0" wp14:anchorId="454A4270" wp14:editId="16F51193">
            <wp:extent cx="3912042" cy="280755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25690" cy="2817353"/>
                    </a:xfrm>
                    <a:prstGeom prst="rect">
                      <a:avLst/>
                    </a:prstGeom>
                  </pic:spPr>
                </pic:pic>
              </a:graphicData>
            </a:graphic>
          </wp:inline>
        </w:drawing>
      </w:r>
    </w:p>
    <w:p w14:paraId="3BE36120" w14:textId="4DAF35C9" w:rsidR="001D040E" w:rsidRDefault="001D040E" w:rsidP="001D040E">
      <w:pPr>
        <w:rPr>
          <w:lang w:val="en-US"/>
        </w:rPr>
      </w:pPr>
      <w:r>
        <w:rPr>
          <w:lang w:val="en-US"/>
        </w:rPr>
        <w:t xml:space="preserve">Defining roles, responsibilities, procedures and exchanged information </w:t>
      </w:r>
      <w:r w:rsidR="0097457D">
        <w:rPr>
          <w:lang w:val="en-US"/>
        </w:rPr>
        <w:t>i</w:t>
      </w:r>
      <w:r>
        <w:rPr>
          <w:lang w:val="en-US"/>
        </w:rPr>
        <w:t>n the Business Layer, would leave space for national Function Layers (e.g. the approach provides the options to countries to go for centralized</w:t>
      </w:r>
      <w:r w:rsidR="00AA7D09">
        <w:rPr>
          <w:lang w:val="en-US"/>
        </w:rPr>
        <w:t>,</w:t>
      </w:r>
      <w:r>
        <w:rPr>
          <w:lang w:val="en-US"/>
        </w:rPr>
        <w:t xml:space="preserve"> decentralized</w:t>
      </w:r>
      <w:r w:rsidR="00AA7D09">
        <w:rPr>
          <w:lang w:val="en-US"/>
        </w:rPr>
        <w:t xml:space="preserve"> or other</w:t>
      </w:r>
      <w:r>
        <w:rPr>
          <w:lang w:val="en-US"/>
        </w:rPr>
        <w:t xml:space="preserve"> data management architectures), </w:t>
      </w:r>
      <w:r w:rsidR="0097457D">
        <w:rPr>
          <w:lang w:val="en-US"/>
        </w:rPr>
        <w:t>whilst</w:t>
      </w:r>
      <w:r>
        <w:rPr>
          <w:lang w:val="en-US"/>
        </w:rPr>
        <w:t xml:space="preserve"> emphasiz</w:t>
      </w:r>
      <w:r w:rsidR="0097457D">
        <w:rPr>
          <w:lang w:val="en-US"/>
        </w:rPr>
        <w:t xml:space="preserve">ing </w:t>
      </w:r>
      <w:r>
        <w:rPr>
          <w:lang w:val="en-US"/>
        </w:rPr>
        <w:t>common understanding through common syntax and semantics defined in the Information Layer. The layers below could again follow national optima and existing practices as required by Article 24.</w:t>
      </w:r>
      <w:r w:rsidR="00AC34C3">
        <w:rPr>
          <w:lang w:val="en-US"/>
        </w:rPr>
        <w:t xml:space="preserve"> Of course, to reach full interoperability, all layers must be considered. Nevertheless putting a focus on convergence of the Business Layer (roles, responsibilities, procedures and information exchanged), whilst ensuring a common understanding through a </w:t>
      </w:r>
      <w:r w:rsidR="0052624C">
        <w:rPr>
          <w:lang w:val="en-US"/>
        </w:rPr>
        <w:t>common Information Layer will – in our opinion – provide the most value for money whilst respecting Article 24</w:t>
      </w:r>
      <w:r w:rsidR="00AA7D09">
        <w:rPr>
          <w:lang w:val="en-US"/>
        </w:rPr>
        <w:t xml:space="preserve"> (first and foremost the intention stated in the beginning of paragraph 2 “In order to promote competition in the retail market and avoid excessive administrative costs for the eligible parties, Member States shall facilitate full interoperability of energy services within the EU</w:t>
      </w:r>
      <w:r w:rsidR="001F2267">
        <w:rPr>
          <w:lang w:val="en-US"/>
        </w:rPr>
        <w:t>”</w:t>
      </w:r>
      <w:r w:rsidR="00AA7D09">
        <w:rPr>
          <w:lang w:val="en-US"/>
        </w:rPr>
        <w:t>)</w:t>
      </w:r>
      <w:r w:rsidR="0052624C">
        <w:rPr>
          <w:lang w:val="en-US"/>
        </w:rPr>
        <w:t xml:space="preserve"> and – in general – the principle of Subsidiarity</w:t>
      </w:r>
      <w:r w:rsidR="006616EB">
        <w:rPr>
          <w:lang w:val="en-US"/>
        </w:rPr>
        <w:t xml:space="preserve"> and the end of that paragraph stated above</w:t>
      </w:r>
      <w:r w:rsidR="0052624C">
        <w:rPr>
          <w:lang w:val="en-US"/>
        </w:rPr>
        <w:t>.</w:t>
      </w:r>
    </w:p>
    <w:p w14:paraId="291C10AE" w14:textId="42EB86E9" w:rsidR="005800D9" w:rsidRDefault="005800D9" w:rsidP="001D040E">
      <w:pPr>
        <w:rPr>
          <w:lang w:val="en-US"/>
        </w:rPr>
      </w:pPr>
      <w:r>
        <w:rPr>
          <w:lang w:val="en-US"/>
        </w:rPr>
        <w:t>In addition to the supplier switching example defined in Requirement R05, this would – in the case of roles - mean that a common Roles Model would define e.g. a Meter Data Aggregator or a Meter Data Collector or a Consent Registry Responsible, without prescribing which types of market participants will take over such a role in a national scenario (DSO, TSO, different ESCO, or a Central Data Hub). This could then be part of the – nationally optimized – Function Layer.</w:t>
      </w:r>
      <w:r w:rsidR="00C42C70">
        <w:rPr>
          <w:lang w:val="en-US"/>
        </w:rPr>
        <w:t xml:space="preserve"> In the case of procedures </w:t>
      </w:r>
      <w:r w:rsidR="006F2843">
        <w:rPr>
          <w:lang w:val="en-US"/>
        </w:rPr>
        <w:t>the common model should focus on the absolute minimum, whilst the “exchanged information” part should make use of the Common Information Layer do be defined.</w:t>
      </w:r>
    </w:p>
    <w:p w14:paraId="63074A62" w14:textId="645BF70A" w:rsidR="000F5267" w:rsidRPr="00F1180F" w:rsidRDefault="000F5267" w:rsidP="00F1180F">
      <w:pPr>
        <w:pStyle w:val="Heading3"/>
        <w:numPr>
          <w:ilvl w:val="2"/>
          <w:numId w:val="8"/>
        </w:numPr>
        <w:spacing w:after="120"/>
        <w:rPr>
          <w:lang w:val="en-GB"/>
        </w:rPr>
      </w:pPr>
      <w:bookmarkStart w:id="207" w:name="_Toc533261819"/>
      <w:r w:rsidRPr="000F5267">
        <w:lastRenderedPageBreak/>
        <w:t>When selecting reference models (SGAM, Common Information Model, Common Role Model, etc.), make sure the bodies developing and maintaining them are representing all relevant Market Participants and stakeholders</w:t>
      </w:r>
      <w:bookmarkEnd w:id="207"/>
    </w:p>
    <w:p w14:paraId="1BE7DC0A" w14:textId="1B92EEE5" w:rsidR="00C31D51" w:rsidRDefault="0037044B" w:rsidP="000F5267">
      <w:pPr>
        <w:rPr>
          <w:lang w:val="en-US"/>
        </w:rPr>
      </w:pPr>
      <w:r>
        <w:rPr>
          <w:lang w:val="en-US"/>
        </w:rPr>
        <w:t xml:space="preserve">For our report we studied a number of already quite good, well-established structures that can be very helpful for a coming Implementation Act. As a reader of this report, please mind that we just could study some examples, not the full picture </w:t>
      </w:r>
      <w:r w:rsidR="005E2971">
        <w:rPr>
          <w:lang w:val="en-US"/>
        </w:rPr>
        <w:t>nor</w:t>
      </w:r>
      <w:r>
        <w:rPr>
          <w:lang w:val="en-US"/>
        </w:rPr>
        <w:t xml:space="preserve"> everything available in its entirety, so </w:t>
      </w:r>
      <w:r w:rsidR="009D7DD5">
        <w:rPr>
          <w:lang w:val="en-US"/>
        </w:rPr>
        <w:t>a more detailed research</w:t>
      </w:r>
      <w:r>
        <w:rPr>
          <w:lang w:val="en-US"/>
        </w:rPr>
        <w:t xml:space="preserve"> would make sense. Nevertheless, what can be said with respect to these reference points, is that they are often developed and maintained by different </w:t>
      </w:r>
      <w:r w:rsidR="00CC64F6">
        <w:rPr>
          <w:lang w:val="en-US"/>
        </w:rPr>
        <w:t>groups, consortia</w:t>
      </w:r>
      <w:r>
        <w:rPr>
          <w:lang w:val="en-US"/>
        </w:rPr>
        <w:t xml:space="preserve"> and market participants, but not by all relevant stakeholders. If </w:t>
      </w:r>
      <w:r w:rsidR="008010CD">
        <w:rPr>
          <w:lang w:val="en-US"/>
        </w:rPr>
        <w:t xml:space="preserve">an Implementation Act prescribes the usage of such structures, it must be guaranteed that the bodies maintaining and furtherly developing these models are legitimized by a </w:t>
      </w:r>
      <w:r w:rsidR="008010CD" w:rsidRPr="00280B60">
        <w:rPr>
          <w:i/>
          <w:lang w:val="en-US"/>
        </w:rPr>
        <w:t>well-defined and transparent stakeholder involvement</w:t>
      </w:r>
      <w:r w:rsidR="006C1375">
        <w:rPr>
          <w:i/>
          <w:lang w:val="en-US"/>
        </w:rPr>
        <w:t xml:space="preserve"> and review</w:t>
      </w:r>
      <w:r w:rsidR="008010CD" w:rsidRPr="00280B60">
        <w:rPr>
          <w:i/>
          <w:lang w:val="en-US"/>
        </w:rPr>
        <w:t xml:space="preserve"> process</w:t>
      </w:r>
      <w:r w:rsidR="008010CD">
        <w:rPr>
          <w:lang w:val="en-US"/>
        </w:rPr>
        <w:t>.</w:t>
      </w:r>
    </w:p>
    <w:p w14:paraId="7DB21EE3" w14:textId="2A389E46" w:rsidR="00C31D51" w:rsidRDefault="00C31D51" w:rsidP="000F5267">
      <w:pPr>
        <w:rPr>
          <w:lang w:val="en-US"/>
        </w:rPr>
      </w:pPr>
      <w:r>
        <w:rPr>
          <w:lang w:val="en-US"/>
        </w:rPr>
        <w:t>This is especially important for e.g. a common Role Model</w:t>
      </w:r>
      <w:r w:rsidR="00E54811">
        <w:rPr>
          <w:lang w:val="en-US"/>
        </w:rPr>
        <w:t xml:space="preserve"> (but of course also for the others)</w:t>
      </w:r>
      <w:r>
        <w:rPr>
          <w:lang w:val="en-US"/>
        </w:rPr>
        <w:t>, as the responsibilities and assignments defined there</w:t>
      </w:r>
      <w:r w:rsidR="00E54811">
        <w:rPr>
          <w:lang w:val="en-US"/>
        </w:rPr>
        <w:t xml:space="preserve"> can have considerable impact on market scenarios and Business Models and</w:t>
      </w:r>
      <w:r>
        <w:rPr>
          <w:lang w:val="en-US"/>
        </w:rPr>
        <w:t xml:space="preserve"> are </w:t>
      </w:r>
      <w:r w:rsidR="00E54811">
        <w:rPr>
          <w:lang w:val="en-US"/>
        </w:rPr>
        <w:t xml:space="preserve">therefore </w:t>
      </w:r>
      <w:r>
        <w:rPr>
          <w:lang w:val="en-US"/>
        </w:rPr>
        <w:t>suited to be subject to political interests of diverse stakeholder groups.</w:t>
      </w:r>
    </w:p>
    <w:p w14:paraId="591CBCF8" w14:textId="4EFEA6FF" w:rsidR="006A5C38" w:rsidRDefault="006A5C38" w:rsidP="000F5267">
      <w:pPr>
        <w:rPr>
          <w:lang w:val="en-US"/>
        </w:rPr>
      </w:pPr>
      <w:r>
        <w:rPr>
          <w:lang w:val="en-US"/>
        </w:rPr>
        <w:t xml:space="preserve">Therefore such </w:t>
      </w:r>
      <w:r w:rsidR="00F6770A">
        <w:rPr>
          <w:lang w:val="en-US"/>
        </w:rPr>
        <w:t>legitimized and transparent bodies should either be put in place or be a prerequisite for a reference point to be selected by the Implementation Act.</w:t>
      </w:r>
    </w:p>
    <w:p w14:paraId="1A595DBB" w14:textId="1EDB571A" w:rsidR="00463623" w:rsidRDefault="00463623" w:rsidP="000F5267">
      <w:pPr>
        <w:rPr>
          <w:lang w:val="en-US"/>
        </w:rPr>
      </w:pPr>
      <w:r>
        <w:rPr>
          <w:lang w:val="en-US"/>
        </w:rPr>
        <w:t>Exemplary gaps identified in the 3 most important models for our work in the group were:</w:t>
      </w:r>
    </w:p>
    <w:tbl>
      <w:tblPr>
        <w:tblStyle w:val="ListTable31"/>
        <w:tblW w:w="0" w:type="auto"/>
        <w:tblLook w:val="04A0" w:firstRow="1" w:lastRow="0" w:firstColumn="1" w:lastColumn="0" w:noHBand="0" w:noVBand="1"/>
      </w:tblPr>
      <w:tblGrid>
        <w:gridCol w:w="2689"/>
        <w:gridCol w:w="6797"/>
      </w:tblGrid>
      <w:tr w:rsidR="00FA26A1" w:rsidRPr="00F2268F" w14:paraId="7DAA8AA0" w14:textId="77777777" w:rsidTr="00AB05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1F81743A" w14:textId="5BC4D6DC" w:rsidR="00FA26A1" w:rsidRDefault="00FA26A1" w:rsidP="00FA26A1">
            <w:pPr>
              <w:jc w:val="center"/>
              <w:rPr>
                <w:lang w:val="en-US"/>
              </w:rPr>
            </w:pPr>
            <w:r>
              <w:rPr>
                <w:lang w:val="en-US"/>
              </w:rPr>
              <w:t>Model</w:t>
            </w:r>
          </w:p>
        </w:tc>
        <w:tc>
          <w:tcPr>
            <w:tcW w:w="6797" w:type="dxa"/>
          </w:tcPr>
          <w:p w14:paraId="4454A0D3" w14:textId="22DC457B" w:rsidR="00FA26A1" w:rsidRDefault="00FA26A1" w:rsidP="00FA26A1">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Identified gaps in stakeholder involvement</w:t>
            </w:r>
          </w:p>
        </w:tc>
      </w:tr>
      <w:tr w:rsidR="00FA26A1" w:rsidRPr="00F2268F" w14:paraId="475B906B" w14:textId="77777777" w:rsidTr="00AB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952360" w14:textId="44083A13" w:rsidR="00FA26A1" w:rsidRDefault="00FA26A1" w:rsidP="000F5267">
            <w:pPr>
              <w:rPr>
                <w:lang w:val="en-US"/>
              </w:rPr>
            </w:pPr>
            <w:r>
              <w:rPr>
                <w:lang w:val="en-US"/>
              </w:rPr>
              <w:t>Smart Grids Architecture Model</w:t>
            </w:r>
          </w:p>
        </w:tc>
        <w:tc>
          <w:tcPr>
            <w:tcW w:w="6797" w:type="dxa"/>
          </w:tcPr>
          <w:p w14:paraId="7E7AC81A" w14:textId="351D0843" w:rsidR="00FA26A1" w:rsidRDefault="00D20032" w:rsidP="000F5267">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SGAM has been developed under European Mandate M/490 by CEN, CENELEC and ETSI, </w:t>
            </w:r>
            <w:r w:rsidR="00060AFE">
              <w:rPr>
                <w:lang w:val="en-US"/>
              </w:rPr>
              <w:t>probably under more technical considerations</w:t>
            </w:r>
            <w:r>
              <w:rPr>
                <w:lang w:val="en-US"/>
              </w:rPr>
              <w:t>. When weaving it</w:t>
            </w:r>
            <w:r w:rsidR="00060AFE">
              <w:rPr>
                <w:lang w:val="en-US"/>
              </w:rPr>
              <w:t xml:space="preserve"> in the European legislative framework by e.g. an Implementation Act, development and maintenance procedures need to be adapted to represent TSOs, DSOs, suppliers, regulators, tool vendors, customer representatives and others.</w:t>
            </w:r>
          </w:p>
        </w:tc>
      </w:tr>
      <w:tr w:rsidR="00FA26A1" w:rsidRPr="00F2268F" w14:paraId="437A4758" w14:textId="77777777" w:rsidTr="00AB053D">
        <w:tc>
          <w:tcPr>
            <w:cnfStyle w:val="001000000000" w:firstRow="0" w:lastRow="0" w:firstColumn="1" w:lastColumn="0" w:oddVBand="0" w:evenVBand="0" w:oddHBand="0" w:evenHBand="0" w:firstRowFirstColumn="0" w:firstRowLastColumn="0" w:lastRowFirstColumn="0" w:lastRowLastColumn="0"/>
            <w:tcW w:w="2689" w:type="dxa"/>
          </w:tcPr>
          <w:p w14:paraId="1EC04632" w14:textId="06861E28" w:rsidR="00FA26A1" w:rsidRDefault="00FA26A1" w:rsidP="000F5267">
            <w:pPr>
              <w:rPr>
                <w:lang w:val="en-US"/>
              </w:rPr>
            </w:pPr>
            <w:r>
              <w:rPr>
                <w:lang w:val="en-US"/>
              </w:rPr>
              <w:t>Harmonized Electricity Market Role Model</w:t>
            </w:r>
          </w:p>
        </w:tc>
        <w:tc>
          <w:tcPr>
            <w:tcW w:w="6797" w:type="dxa"/>
          </w:tcPr>
          <w:p w14:paraId="5151A02A" w14:textId="61A12FA7" w:rsidR="00FA26A1" w:rsidRDefault="00D61107" w:rsidP="000F5267">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HEMRM (see </w:t>
            </w:r>
            <w:r>
              <w:rPr>
                <w:rStyle w:val="FootnoteReference"/>
                <w:lang w:val="en-US"/>
              </w:rPr>
              <w:footnoteReference w:id="4"/>
            </w:r>
            <w:r>
              <w:rPr>
                <w:lang w:val="en-US"/>
              </w:rPr>
              <w:t xml:space="preserve">) is maintained and developed by ENTSO-E, EFET and </w:t>
            </w:r>
            <w:proofErr w:type="spellStart"/>
            <w:r>
              <w:rPr>
                <w:lang w:val="en-US"/>
              </w:rPr>
              <w:t>ebIX</w:t>
            </w:r>
            <w:proofErr w:type="spellEnd"/>
            <w:r>
              <w:rPr>
                <w:lang w:val="en-US"/>
              </w:rPr>
              <w:t>. For a bystander it is very hard to find our out who is taking decisions in that group and how they are undertaken. Apart from that and even more important, there seem to be no representatives from suppliers, regulators, DSOs or customer representatives involved. Although we consider this a very important initiative, it must be ensured all relevant stakeholders are included, when referencing to this model in a future Implementation Act.</w:t>
            </w:r>
            <w:r w:rsidR="004B2BDD">
              <w:rPr>
                <w:lang w:val="en-US"/>
              </w:rPr>
              <w:t xml:space="preserve"> When adding Gas market support to the model, the inclusion of the respective stakeholders also must be ensured.</w:t>
            </w:r>
          </w:p>
        </w:tc>
      </w:tr>
      <w:tr w:rsidR="00FA26A1" w14:paraId="3018832C" w14:textId="77777777" w:rsidTr="00AB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50FDDE0" w14:textId="0BFBDB36" w:rsidR="00FA26A1" w:rsidRDefault="00FA26A1" w:rsidP="000F5267">
            <w:pPr>
              <w:rPr>
                <w:lang w:val="en-US"/>
              </w:rPr>
            </w:pPr>
            <w:r>
              <w:rPr>
                <w:lang w:val="en-US"/>
              </w:rPr>
              <w:t>Common Information Model for Electricity</w:t>
            </w:r>
            <w:r w:rsidR="006A72F3">
              <w:rPr>
                <w:rStyle w:val="FootnoteReference"/>
                <w:lang w:val="en-US"/>
              </w:rPr>
              <w:footnoteReference w:id="5"/>
            </w:r>
          </w:p>
        </w:tc>
        <w:tc>
          <w:tcPr>
            <w:tcW w:w="6797" w:type="dxa"/>
          </w:tcPr>
          <w:p w14:paraId="0CBFAB3A" w14:textId="632A75C2" w:rsidR="00FA26A1" w:rsidRDefault="000575A2" w:rsidP="000F5267">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TC57 working groups are assembled with members of different member states, but not by different market roles. Of course, for example </w:t>
            </w:r>
            <w:r w:rsidRPr="000575A2">
              <w:rPr>
                <w:i/>
                <w:lang w:val="en-US"/>
              </w:rPr>
              <w:t xml:space="preserve">WG 16 – </w:t>
            </w:r>
            <w:r w:rsidRPr="000575A2">
              <w:rPr>
                <w:i/>
                <w:lang w:val="en-US"/>
              </w:rPr>
              <w:lastRenderedPageBreak/>
              <w:t>Deregulated energy market communications</w:t>
            </w:r>
            <w:r>
              <w:rPr>
                <w:lang w:val="en-US"/>
              </w:rPr>
              <w:t xml:space="preserve">   (see </w:t>
            </w:r>
            <w:r>
              <w:rPr>
                <w:rStyle w:val="FootnoteReference"/>
                <w:lang w:val="en-US"/>
              </w:rPr>
              <w:footnoteReference w:id="6"/>
            </w:r>
            <w:r>
              <w:rPr>
                <w:lang w:val="en-US"/>
              </w:rPr>
              <w:t>, same counts for WG 13, both important for CIM)</w:t>
            </w:r>
            <w:r w:rsidR="00920832">
              <w:rPr>
                <w:lang w:val="en-US"/>
              </w:rPr>
              <w:t xml:space="preserve"> </w:t>
            </w:r>
            <w:r>
              <w:rPr>
                <w:lang w:val="en-US"/>
              </w:rPr>
              <w:t xml:space="preserve">shows </w:t>
            </w:r>
            <w:proofErr w:type="spellStart"/>
            <w:r>
              <w:rPr>
                <w:lang w:val="en-US"/>
              </w:rPr>
              <w:t>liasons</w:t>
            </w:r>
            <w:proofErr w:type="spellEnd"/>
            <w:r>
              <w:rPr>
                <w:lang w:val="en-US"/>
              </w:rPr>
              <w:t xml:space="preserve"> with </w:t>
            </w:r>
            <w:proofErr w:type="spellStart"/>
            <w:r>
              <w:rPr>
                <w:lang w:val="en-US"/>
              </w:rPr>
              <w:t>ebIX</w:t>
            </w:r>
            <w:proofErr w:type="spellEnd"/>
            <w:r>
              <w:rPr>
                <w:lang w:val="en-US"/>
              </w:rPr>
              <w:t xml:space="preserve">, ENTSO-E and </w:t>
            </w:r>
            <w:proofErr w:type="spellStart"/>
            <w:r>
              <w:rPr>
                <w:lang w:val="en-US"/>
              </w:rPr>
              <w:t>UCAlug</w:t>
            </w:r>
            <w:proofErr w:type="spellEnd"/>
            <w:r>
              <w:rPr>
                <w:lang w:val="en-US"/>
              </w:rPr>
              <w:t>, but important other stake holders like representatives of suppliers,</w:t>
            </w:r>
            <w:r w:rsidR="00920832">
              <w:rPr>
                <w:lang w:val="en-US"/>
              </w:rPr>
              <w:t xml:space="preserve"> regulators,</w:t>
            </w:r>
            <w:r>
              <w:rPr>
                <w:lang w:val="en-US"/>
              </w:rPr>
              <w:t xml:space="preserve"> DSOs, customer interest groups or tool vendors are not – at least not transparently – part of the development process.</w:t>
            </w:r>
            <w:r w:rsidR="004B2BDD">
              <w:rPr>
                <w:lang w:val="en-US"/>
              </w:rPr>
              <w:t xml:space="preserve"> Also, it might make sense to include Gas stakeholders.</w:t>
            </w:r>
          </w:p>
        </w:tc>
      </w:tr>
    </w:tbl>
    <w:p w14:paraId="674067A3" w14:textId="77777777" w:rsidR="00F1180F" w:rsidRPr="00F1180F" w:rsidRDefault="00F1180F" w:rsidP="00F1180F">
      <w:pPr>
        <w:pStyle w:val="Heading3"/>
        <w:numPr>
          <w:ilvl w:val="0"/>
          <w:numId w:val="0"/>
        </w:numPr>
        <w:spacing w:after="120"/>
        <w:ind w:left="1224"/>
        <w:rPr>
          <w:lang w:val="en-GB"/>
        </w:rPr>
      </w:pPr>
    </w:p>
    <w:p w14:paraId="35DA67C3" w14:textId="425821C5" w:rsidR="000F5267" w:rsidRPr="00F1180F" w:rsidRDefault="000F5267" w:rsidP="00F1180F">
      <w:pPr>
        <w:pStyle w:val="Heading3"/>
        <w:numPr>
          <w:ilvl w:val="2"/>
          <w:numId w:val="8"/>
        </w:numPr>
        <w:spacing w:after="120"/>
        <w:rPr>
          <w:lang w:val="en-GB"/>
        </w:rPr>
      </w:pPr>
      <w:bookmarkStart w:id="208" w:name="_Toc533261820"/>
      <w:r w:rsidRPr="000F5267">
        <w:t xml:space="preserve">The question of whether to use a </w:t>
      </w:r>
      <w:proofErr w:type="spellStart"/>
      <w:r w:rsidRPr="000F5267">
        <w:t>centralised</w:t>
      </w:r>
      <w:proofErr w:type="spellEnd"/>
      <w:r w:rsidRPr="000F5267">
        <w:t xml:space="preserve"> or </w:t>
      </w:r>
      <w:proofErr w:type="spellStart"/>
      <w:r w:rsidRPr="000F5267">
        <w:t>decentralised</w:t>
      </w:r>
      <w:proofErr w:type="spellEnd"/>
      <w:r w:rsidRPr="000F5267">
        <w:t xml:space="preserve"> data management model is considered part of the System Layer and Interoperability can be established in and between both scenarios</w:t>
      </w:r>
      <w:bookmarkEnd w:id="208"/>
    </w:p>
    <w:p w14:paraId="3DD65A83" w14:textId="0271279B" w:rsidR="00DB1433" w:rsidRDefault="00DB1433" w:rsidP="00DB1433">
      <w:pPr>
        <w:rPr>
          <w:lang w:val="en-US"/>
        </w:rPr>
      </w:pPr>
      <w:r>
        <w:rPr>
          <w:lang w:val="en-US"/>
        </w:rPr>
        <w:t xml:space="preserve">During the work on our report we studied a lot of analyses and studies discussing whether data management should be done in a more centralized way (e.g. by putting in place Central Data Hubs) or a decentralized approach (e.g. the Energy Data Exchange effort in Austria). </w:t>
      </w:r>
      <w:r w:rsidR="005E44A9">
        <w:rPr>
          <w:lang w:val="en-US"/>
        </w:rPr>
        <w:t>Both efforts have strength</w:t>
      </w:r>
      <w:r w:rsidR="00814AC0">
        <w:rPr>
          <w:lang w:val="en-US"/>
        </w:rPr>
        <w:t>s</w:t>
      </w:r>
      <w:r w:rsidR="005E44A9">
        <w:rPr>
          <w:lang w:val="en-US"/>
        </w:rPr>
        <w:t xml:space="preserve"> and weaknesses and it is very important not to just consider some potential Costs and Benefits, but also the Risks and Opportunities perspective</w:t>
      </w:r>
      <w:r w:rsidR="00814AC0">
        <w:rPr>
          <w:lang w:val="en-US"/>
        </w:rPr>
        <w:t xml:space="preserve">. Preferences will also vary depending on existing national practices and strategies, so our recommendation is not to prescribe or </w:t>
      </w:r>
      <w:proofErr w:type="spellStart"/>
      <w:r w:rsidR="00814AC0">
        <w:rPr>
          <w:lang w:val="en-US"/>
        </w:rPr>
        <w:t>favour</w:t>
      </w:r>
      <w:proofErr w:type="spellEnd"/>
      <w:r w:rsidR="00814AC0">
        <w:rPr>
          <w:lang w:val="en-US"/>
        </w:rPr>
        <w:t xml:space="preserve"> an approach.</w:t>
      </w:r>
      <w:r w:rsidR="00CC7D44">
        <w:rPr>
          <w:lang w:val="en-US"/>
        </w:rPr>
        <w:t xml:space="preserve"> Figure XX below shows that Business Requirements can be met with both approaches at a high degree of Interoperability by utilizing a common Information Layer.</w:t>
      </w:r>
    </w:p>
    <w:p w14:paraId="50C69D57" w14:textId="34C3DA9B" w:rsidR="00721E59" w:rsidRDefault="00721E59" w:rsidP="00CC7D44">
      <w:pPr>
        <w:jc w:val="center"/>
        <w:rPr>
          <w:b/>
          <w:color w:val="FF0000"/>
          <w:lang w:val="en-US"/>
        </w:rPr>
      </w:pPr>
      <w:r>
        <w:rPr>
          <w:b/>
          <w:noProof/>
          <w:color w:val="FF0000"/>
          <w:lang w:val="en-GB" w:eastAsia="en-GB"/>
        </w:rPr>
        <w:lastRenderedPageBreak/>
        <w:drawing>
          <wp:inline distT="0" distB="0" distL="0" distR="0" wp14:anchorId="28CA25E3" wp14:editId="72E4FEB7">
            <wp:extent cx="4431672" cy="4105649"/>
            <wp:effectExtent l="0" t="0" r="698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0576" cy="4123163"/>
                    </a:xfrm>
                    <a:prstGeom prst="rect">
                      <a:avLst/>
                    </a:prstGeom>
                    <a:noFill/>
                    <a:ln>
                      <a:noFill/>
                    </a:ln>
                  </pic:spPr>
                </pic:pic>
              </a:graphicData>
            </a:graphic>
          </wp:inline>
        </w:drawing>
      </w:r>
    </w:p>
    <w:p w14:paraId="28A566BA" w14:textId="09851015" w:rsidR="00716C72" w:rsidRDefault="002A4D7A" w:rsidP="00DB1433">
      <w:pPr>
        <w:rPr>
          <w:lang w:val="en-US"/>
        </w:rPr>
      </w:pPr>
      <w:r>
        <w:rPr>
          <w:lang w:val="en-US"/>
        </w:rPr>
        <w:t>Also r</w:t>
      </w:r>
      <w:r w:rsidR="00716C72">
        <w:rPr>
          <w:lang w:val="en-US"/>
        </w:rPr>
        <w:t>egarding these aspects – when elaborating the Implementation Act and respecting Article 24’s paragraph “The Commission</w:t>
      </w:r>
      <w:r w:rsidR="00D86D0F">
        <w:rPr>
          <w:lang w:val="en-US"/>
        </w:rPr>
        <w:t xml:space="preserve"> … shall determine interoperability requirements and non-discriminatory and transparent procedures for accessing the data, listed under Article 23 (1)” – it must be considered, that we do not know yet the </w:t>
      </w:r>
      <w:r w:rsidR="00D86D0F" w:rsidRPr="00D86D0F">
        <w:rPr>
          <w:i/>
          <w:lang w:val="en-US"/>
        </w:rPr>
        <w:t>criticality level of the services that will rely on the data</w:t>
      </w:r>
      <w:r w:rsidR="00D86D0F">
        <w:rPr>
          <w:lang w:val="en-US"/>
        </w:rPr>
        <w:t xml:space="preserve"> that will – by the means to be defined in the Implementation Act – be provided by the future Third-Party providers. Services will not be restricted to the Use Case “Supplier makes customer a new offer based on current consumption data”, but might be more critical scenarios.</w:t>
      </w:r>
    </w:p>
    <w:p w14:paraId="268EB147" w14:textId="37E8A40D" w:rsidR="000F5267" w:rsidRDefault="00D86D0F" w:rsidP="000F5267">
      <w:pPr>
        <w:rPr>
          <w:lang w:val="en-US"/>
        </w:rPr>
      </w:pPr>
      <w:r>
        <w:rPr>
          <w:lang w:val="en-US"/>
        </w:rPr>
        <w:t xml:space="preserve">Bottom line is that if we do not know the criticality level of the services that rely on the data, it is very hard to define the criticality levels of the structures providing </w:t>
      </w:r>
      <w:r w:rsidR="0013579A">
        <w:rPr>
          <w:lang w:val="en-US"/>
        </w:rPr>
        <w:t>them</w:t>
      </w:r>
      <w:r>
        <w:rPr>
          <w:lang w:val="en-US"/>
        </w:rPr>
        <w:t xml:space="preserve"> (Data Hubs, TSOs, DSOs, Meter Data Aggregators etc.). What can be done is to require risk mitigation concepts and regular assessments and adaptions.</w:t>
      </w:r>
    </w:p>
    <w:p w14:paraId="5B7543EA" w14:textId="333CBA97" w:rsidR="004C7BE1" w:rsidRPr="000F5267" w:rsidRDefault="00814AC0" w:rsidP="000F5267">
      <w:pPr>
        <w:rPr>
          <w:lang w:val="en-US"/>
        </w:rPr>
      </w:pPr>
      <w:r>
        <w:rPr>
          <w:lang w:val="en-US"/>
        </w:rPr>
        <w:t>We strongly recommend that there should not be any preference for the architecture approach in terms of</w:t>
      </w:r>
      <w:r w:rsidR="004E4E29">
        <w:rPr>
          <w:lang w:val="en-US"/>
        </w:rPr>
        <w:t xml:space="preserve"> degree of</w:t>
      </w:r>
      <w:r>
        <w:rPr>
          <w:lang w:val="en-US"/>
        </w:rPr>
        <w:t xml:space="preserve"> centraliz</w:t>
      </w:r>
      <w:r w:rsidR="004E4E29">
        <w:rPr>
          <w:lang w:val="en-US"/>
        </w:rPr>
        <w:t>ation</w:t>
      </w:r>
      <w:r>
        <w:rPr>
          <w:lang w:val="en-US"/>
        </w:rPr>
        <w:t xml:space="preserve"> or decentraliz</w:t>
      </w:r>
      <w:r w:rsidR="004E4E29">
        <w:rPr>
          <w:lang w:val="en-US"/>
        </w:rPr>
        <w:t>ation</w:t>
      </w:r>
      <w:r>
        <w:rPr>
          <w:lang w:val="en-US"/>
        </w:rPr>
        <w:t xml:space="preserve"> and that the decision of how to fulfill the Business Requirements should be left to the Member States.</w:t>
      </w:r>
      <w:r w:rsidR="00A35555">
        <w:rPr>
          <w:lang w:val="en-US"/>
        </w:rPr>
        <w:t xml:space="preserve"> </w:t>
      </w:r>
      <w:r w:rsidR="00EC0ED8">
        <w:rPr>
          <w:lang w:val="en-US"/>
        </w:rPr>
        <w:t>A good degree of i</w:t>
      </w:r>
      <w:r w:rsidR="00A35555">
        <w:rPr>
          <w:lang w:val="en-US"/>
        </w:rPr>
        <w:t xml:space="preserve">nteroperability </w:t>
      </w:r>
      <w:r w:rsidR="00EC0ED8">
        <w:rPr>
          <w:lang w:val="en-US"/>
        </w:rPr>
        <w:t xml:space="preserve">can be ensured with and between the architectures defined in the respective national Function Layer. </w:t>
      </w:r>
    </w:p>
    <w:p w14:paraId="27B0E74F" w14:textId="61B7D460" w:rsidR="006910A1" w:rsidRPr="006910A1" w:rsidRDefault="006910A1" w:rsidP="00F1180F">
      <w:pPr>
        <w:pStyle w:val="Heading2"/>
        <w:numPr>
          <w:ilvl w:val="1"/>
          <w:numId w:val="8"/>
        </w:numPr>
        <w:spacing w:after="200"/>
        <w:ind w:left="788" w:hanging="431"/>
        <w:rPr>
          <w:lang w:val="en-GB"/>
        </w:rPr>
      </w:pPr>
      <w:bookmarkStart w:id="209" w:name="_Toc533261821"/>
      <w:r w:rsidRPr="006910A1">
        <w:rPr>
          <w:lang w:val="en-GB"/>
        </w:rPr>
        <w:lastRenderedPageBreak/>
        <w:t xml:space="preserve">Specific </w:t>
      </w:r>
      <w:r w:rsidR="00C82EDF">
        <w:rPr>
          <w:lang w:val="en-GB"/>
        </w:rPr>
        <w:t xml:space="preserve">recommendations </w:t>
      </w:r>
      <w:r w:rsidRPr="006910A1">
        <w:rPr>
          <w:lang w:val="en-GB"/>
        </w:rPr>
        <w:t>to existing services</w:t>
      </w:r>
      <w:bookmarkEnd w:id="209"/>
    </w:p>
    <w:p w14:paraId="48A6824A" w14:textId="77777777" w:rsidR="006910A1" w:rsidRPr="006910A1" w:rsidRDefault="006910A1" w:rsidP="00F1180F">
      <w:pPr>
        <w:pStyle w:val="Heading3"/>
        <w:numPr>
          <w:ilvl w:val="2"/>
          <w:numId w:val="8"/>
        </w:numPr>
        <w:spacing w:after="120"/>
        <w:ind w:left="1225" w:hanging="505"/>
        <w:rPr>
          <w:lang w:val="en-GB"/>
        </w:rPr>
      </w:pPr>
      <w:bookmarkStart w:id="210" w:name="_Toc533261822"/>
      <w:r w:rsidRPr="006910A1">
        <w:rPr>
          <w:lang w:val="en-GB"/>
        </w:rPr>
        <w:t>Billing</w:t>
      </w:r>
      <w:bookmarkEnd w:id="210"/>
    </w:p>
    <w:p w14:paraId="36E11A63" w14:textId="77777777" w:rsidR="006910A1" w:rsidRPr="006910A1" w:rsidRDefault="006910A1" w:rsidP="00F1180F">
      <w:pPr>
        <w:pStyle w:val="Heading4"/>
        <w:numPr>
          <w:ilvl w:val="3"/>
          <w:numId w:val="8"/>
        </w:numPr>
        <w:spacing w:after="120"/>
        <w:ind w:left="1723" w:hanging="646"/>
      </w:pPr>
      <w:bookmarkStart w:id="211" w:name="_Toc533261823"/>
      <w:r w:rsidRPr="006910A1">
        <w:t>Subheading 1</w:t>
      </w:r>
      <w:bookmarkEnd w:id="211"/>
    </w:p>
    <w:p w14:paraId="3E3A80F7" w14:textId="77777777" w:rsidR="006910A1" w:rsidRPr="006910A1" w:rsidRDefault="006910A1" w:rsidP="00F1180F">
      <w:pPr>
        <w:pStyle w:val="Heading3"/>
        <w:numPr>
          <w:ilvl w:val="2"/>
          <w:numId w:val="8"/>
        </w:numPr>
        <w:spacing w:after="120"/>
        <w:ind w:left="1225" w:hanging="505"/>
        <w:rPr>
          <w:lang w:val="en-GB"/>
        </w:rPr>
      </w:pPr>
      <w:bookmarkStart w:id="212" w:name="_Toc533261824"/>
      <w:r w:rsidRPr="006910A1">
        <w:rPr>
          <w:lang w:val="en-GB"/>
        </w:rPr>
        <w:t>Change of supplier process</w:t>
      </w:r>
      <w:bookmarkEnd w:id="212"/>
    </w:p>
    <w:p w14:paraId="65724D15" w14:textId="77777777" w:rsidR="006910A1" w:rsidRPr="006910A1" w:rsidRDefault="006910A1" w:rsidP="00F1180F">
      <w:pPr>
        <w:pStyle w:val="Heading4"/>
        <w:numPr>
          <w:ilvl w:val="3"/>
          <w:numId w:val="8"/>
        </w:numPr>
        <w:spacing w:after="120"/>
        <w:ind w:left="1723" w:hanging="646"/>
      </w:pPr>
      <w:bookmarkStart w:id="213" w:name="_Toc533261825"/>
      <w:r w:rsidRPr="006910A1">
        <w:t>Subheading 1</w:t>
      </w:r>
      <w:bookmarkEnd w:id="213"/>
    </w:p>
    <w:p w14:paraId="511FCE8F" w14:textId="7687386D" w:rsidR="006910A1" w:rsidRPr="006910A1" w:rsidRDefault="006910A1" w:rsidP="00F1180F">
      <w:pPr>
        <w:pStyle w:val="Heading2"/>
        <w:numPr>
          <w:ilvl w:val="1"/>
          <w:numId w:val="8"/>
        </w:numPr>
        <w:spacing w:after="200"/>
        <w:ind w:left="788" w:hanging="431"/>
        <w:rPr>
          <w:lang w:val="en-GB"/>
        </w:rPr>
      </w:pPr>
      <w:bookmarkStart w:id="214" w:name="_Toc533261826"/>
      <w:r w:rsidRPr="006910A1">
        <w:rPr>
          <w:lang w:val="en-GB"/>
        </w:rPr>
        <w:t xml:space="preserve">Specific </w:t>
      </w:r>
      <w:r w:rsidR="00C82EDF">
        <w:rPr>
          <w:lang w:val="en-GB"/>
        </w:rPr>
        <w:t xml:space="preserve">recommendations </w:t>
      </w:r>
      <w:r w:rsidRPr="006910A1">
        <w:rPr>
          <w:lang w:val="en-GB"/>
        </w:rPr>
        <w:t>to emerging services</w:t>
      </w:r>
      <w:bookmarkEnd w:id="214"/>
    </w:p>
    <w:p w14:paraId="3F7548C1" w14:textId="77777777" w:rsidR="00F2268F" w:rsidRPr="00F2268F" w:rsidRDefault="00F2268F" w:rsidP="00F2268F">
      <w:pPr>
        <w:suppressAutoHyphens/>
        <w:autoSpaceDN w:val="0"/>
        <w:jc w:val="both"/>
        <w:textAlignment w:val="baseline"/>
        <w:rPr>
          <w:lang w:val="en-US"/>
        </w:rPr>
      </w:pPr>
      <w:r w:rsidRPr="00F2268F">
        <w:rPr>
          <w:lang w:val="en-US"/>
        </w:rPr>
        <w:t>Interoperability will enable emerging services to be developed and deployed faster among European Member States. Following recommendations will help to reach interoperability for emerging services:</w:t>
      </w:r>
    </w:p>
    <w:p w14:paraId="1174F8BF" w14:textId="77777777" w:rsidR="00F2268F" w:rsidRPr="00F2268F" w:rsidRDefault="00F2268F" w:rsidP="00F2268F">
      <w:pPr>
        <w:suppressAutoHyphens/>
        <w:autoSpaceDN w:val="0"/>
        <w:jc w:val="both"/>
        <w:textAlignment w:val="baseline"/>
        <w:rPr>
          <w:b/>
          <w:lang w:val="en-US"/>
        </w:rPr>
      </w:pPr>
      <w:r w:rsidRPr="00F2268F">
        <w:rPr>
          <w:b/>
          <w:lang w:val="en-US"/>
        </w:rPr>
        <w:t>1. Clearly identify and define all required roles to describe general business use cases and allow all possible implementations at system level.</w:t>
      </w:r>
    </w:p>
    <w:p w14:paraId="4F7768B0" w14:textId="77777777" w:rsidR="00F2268F" w:rsidRPr="00F2268F" w:rsidRDefault="00F2268F" w:rsidP="00F2268F">
      <w:pPr>
        <w:suppressAutoHyphens/>
        <w:autoSpaceDN w:val="0"/>
        <w:jc w:val="both"/>
        <w:textAlignment w:val="baseline"/>
        <w:rPr>
          <w:lang w:val="en-GB"/>
        </w:rPr>
      </w:pPr>
      <w:r w:rsidRPr="00F2268F">
        <w:rPr>
          <w:lang w:val="en-GB"/>
        </w:rPr>
        <w:t>Many roles involved in emerging services are described in the Harmonised Electricity Market Role Model</w:t>
      </w:r>
      <w:r>
        <w:rPr>
          <w:rStyle w:val="FootnoteReference"/>
          <w:lang w:val="en-GB"/>
        </w:rPr>
        <w:footnoteReference w:id="7"/>
      </w:r>
      <w:r w:rsidRPr="00F2268F">
        <w:rPr>
          <w:lang w:val="en-GB"/>
        </w:rPr>
        <w:t>. Nevertheless, the management of personal metering data by third parties requires additional protection procedures, particularly in relation with GPDR, and thus, new roles. They are defined as follows:</w:t>
      </w:r>
    </w:p>
    <w:p w14:paraId="32F815B5" w14:textId="77777777" w:rsidR="00F2268F" w:rsidRPr="00F2268F" w:rsidRDefault="00F2268F" w:rsidP="00F2268F">
      <w:pPr>
        <w:rPr>
          <w:b/>
          <w:lang w:val="en-GB"/>
        </w:rPr>
      </w:pPr>
      <w:r w:rsidRPr="00F2268F">
        <w:rPr>
          <w:b/>
          <w:lang w:val="en-GB"/>
        </w:rPr>
        <w:t>The Identity Service Provider</w:t>
      </w:r>
    </w:p>
    <w:p w14:paraId="72659E90" w14:textId="77777777" w:rsidR="00F2268F" w:rsidRPr="00F2268F" w:rsidRDefault="00F2268F" w:rsidP="00F2268F">
      <w:pPr>
        <w:rPr>
          <w:lang w:val="en-GB"/>
        </w:rPr>
      </w:pPr>
      <w:r w:rsidRPr="00F2268F">
        <w:rPr>
          <w:lang w:val="en-GB"/>
        </w:rPr>
        <w:t>First of all, it is important to clearly identify and authenticate the user, to prevent identity usurpation or mistakes. This role can be handled by dedicated parties, by the DSO or by a national or regional datahub.</w:t>
      </w:r>
    </w:p>
    <w:p w14:paraId="3F80E409" w14:textId="77777777" w:rsidR="00F2268F" w:rsidRPr="00F2268F" w:rsidRDefault="00F2268F" w:rsidP="00F2268F">
      <w:pPr>
        <w:rPr>
          <w:b/>
          <w:color w:val="000000"/>
          <w:lang w:val="en-US"/>
        </w:rPr>
      </w:pPr>
      <w:r w:rsidRPr="00F2268F">
        <w:rPr>
          <w:b/>
          <w:lang w:val="en-GB"/>
        </w:rPr>
        <w:t xml:space="preserve">The </w:t>
      </w:r>
      <w:r w:rsidRPr="00F2268F">
        <w:rPr>
          <w:b/>
          <w:color w:val="000000"/>
          <w:lang w:val="en-US"/>
        </w:rPr>
        <w:t>Access Rights Manager</w:t>
      </w:r>
    </w:p>
    <w:p w14:paraId="4EB9127F" w14:textId="77777777" w:rsidR="00F2268F" w:rsidRPr="00F2268F" w:rsidRDefault="00F2268F" w:rsidP="00F2268F">
      <w:pPr>
        <w:rPr>
          <w:lang w:val="en-GB"/>
        </w:rPr>
      </w:pPr>
      <w:r w:rsidRPr="00F2268F">
        <w:rPr>
          <w:lang w:val="en-GB"/>
        </w:rPr>
        <w:t>It is then necessary to make sure that the identified user has the rights to access data functionalities related to a given metering point. In many case, this is handled by making sure the user is the customer of the energy contract set in the premises connected with the metering point. In some member states, the contractual customer can also delegate this access to another person (for example a relative living in the same household or a person responsible of their guardianship). In other cases, the access to data functionalities must be granted to another user than the customer of the energy contract: this situation may happen when the energy supply is contracted by a landlord or a company, while tourists, students or elderly people live in the premises.</w:t>
      </w:r>
    </w:p>
    <w:p w14:paraId="2D077B30" w14:textId="77777777" w:rsidR="00F2268F" w:rsidRPr="00F2268F" w:rsidRDefault="00F2268F" w:rsidP="00F2268F">
      <w:pPr>
        <w:rPr>
          <w:b/>
          <w:lang w:val="en-GB"/>
        </w:rPr>
      </w:pPr>
      <w:r w:rsidRPr="00F2268F">
        <w:rPr>
          <w:lang w:val="en-GB"/>
        </w:rPr>
        <w:t>In all this cases, this link between the user and the metering point used for energy supply/generation should be verified at every access requests, as it may evolve. For example if a family moves out it may not be able to give access to its former house energy data any more.</w:t>
      </w:r>
    </w:p>
    <w:p w14:paraId="130DAD3E" w14:textId="77777777" w:rsidR="00F2268F" w:rsidRPr="00F2268F" w:rsidRDefault="00F2268F" w:rsidP="00F2268F">
      <w:pPr>
        <w:suppressAutoHyphens/>
        <w:autoSpaceDN w:val="0"/>
        <w:jc w:val="both"/>
        <w:textAlignment w:val="baseline"/>
        <w:rPr>
          <w:b/>
          <w:lang w:val="en-GB"/>
        </w:rPr>
      </w:pPr>
      <w:r w:rsidRPr="00F2268F">
        <w:rPr>
          <w:b/>
          <w:lang w:val="en-GB"/>
        </w:rPr>
        <w:t>The Consent Registry Responsible</w:t>
      </w:r>
    </w:p>
    <w:p w14:paraId="0EBBDDF9" w14:textId="77777777" w:rsidR="00F2268F" w:rsidRPr="00F2268F" w:rsidRDefault="00F2268F" w:rsidP="00F2268F">
      <w:pPr>
        <w:suppressAutoHyphens/>
        <w:autoSpaceDN w:val="0"/>
        <w:jc w:val="both"/>
        <w:textAlignment w:val="baseline"/>
        <w:rPr>
          <w:lang w:val="en-GB"/>
        </w:rPr>
      </w:pPr>
      <w:r w:rsidRPr="00F2268F">
        <w:rPr>
          <w:lang w:val="en-GB"/>
        </w:rPr>
        <w:t>The third role we identified is the management of customer consents. This role consists of storing consents given by consumers to third parties and managing them.</w:t>
      </w:r>
    </w:p>
    <w:p w14:paraId="583F40A5" w14:textId="77777777" w:rsidR="00F2268F" w:rsidRPr="00F2268F" w:rsidRDefault="00F2268F" w:rsidP="00F2268F">
      <w:pPr>
        <w:suppressAutoHyphens/>
        <w:autoSpaceDN w:val="0"/>
        <w:jc w:val="both"/>
        <w:textAlignment w:val="baseline"/>
        <w:rPr>
          <w:b/>
          <w:color w:val="000000"/>
          <w:lang w:val="en-US"/>
        </w:rPr>
      </w:pPr>
      <w:r w:rsidRPr="00F2268F">
        <w:rPr>
          <w:b/>
          <w:color w:val="000000"/>
          <w:lang w:val="en-US"/>
        </w:rPr>
        <w:t>Metered Data Dispatcher</w:t>
      </w:r>
    </w:p>
    <w:p w14:paraId="0D9FD3B5" w14:textId="77777777" w:rsidR="00F2268F" w:rsidRPr="00F2268F" w:rsidRDefault="00F2268F" w:rsidP="00F2268F">
      <w:pPr>
        <w:suppressAutoHyphens/>
        <w:autoSpaceDN w:val="0"/>
        <w:jc w:val="both"/>
        <w:textAlignment w:val="baseline"/>
        <w:rPr>
          <w:lang w:val="en-GB"/>
        </w:rPr>
      </w:pPr>
      <w:r w:rsidRPr="00F2268F">
        <w:rPr>
          <w:lang w:val="en-GB"/>
        </w:rPr>
        <w:lastRenderedPageBreak/>
        <w:t xml:space="preserve">The last role is to finally send to metered data </w:t>
      </w:r>
      <w:proofErr w:type="gramStart"/>
      <w:r w:rsidRPr="00F2268F">
        <w:rPr>
          <w:lang w:val="en-GB"/>
        </w:rPr>
        <w:t>to  any</w:t>
      </w:r>
      <w:proofErr w:type="gramEnd"/>
      <w:r w:rsidRPr="00F2268F">
        <w:rPr>
          <w:lang w:val="en-GB"/>
        </w:rPr>
        <w:t xml:space="preserve"> party that is requesting it (consumer, 3</w:t>
      </w:r>
      <w:r w:rsidRPr="00F2268F">
        <w:rPr>
          <w:vertAlign w:val="superscript"/>
          <w:lang w:val="en-GB"/>
        </w:rPr>
        <w:t>rd</w:t>
      </w:r>
      <w:r w:rsidRPr="00F2268F">
        <w:rPr>
          <w:lang w:val="en-GB"/>
        </w:rPr>
        <w:t xml:space="preserve"> party etc.). In many member states, the party responsible of the consent registry is also responsible to send data, but in other member states, </w:t>
      </w:r>
      <w:proofErr w:type="gramStart"/>
      <w:r w:rsidRPr="00F2268F">
        <w:rPr>
          <w:lang w:val="en-GB"/>
        </w:rPr>
        <w:t>this roles</w:t>
      </w:r>
      <w:proofErr w:type="gramEnd"/>
      <w:r w:rsidRPr="00F2268F">
        <w:rPr>
          <w:lang w:val="en-GB"/>
        </w:rPr>
        <w:t xml:space="preserve"> are separated. </w:t>
      </w:r>
    </w:p>
    <w:p w14:paraId="039E1305" w14:textId="77777777" w:rsidR="00F2268F" w:rsidRPr="00F2268F" w:rsidRDefault="00F2268F" w:rsidP="00F2268F">
      <w:pPr>
        <w:rPr>
          <w:b/>
          <w:lang w:val="en-GB"/>
        </w:rPr>
      </w:pPr>
    </w:p>
    <w:p w14:paraId="624C4E4D" w14:textId="77777777" w:rsidR="00F2268F" w:rsidRPr="00F2268F" w:rsidRDefault="00F2268F" w:rsidP="00F2268F">
      <w:pPr>
        <w:suppressAutoHyphens/>
        <w:autoSpaceDN w:val="0"/>
        <w:jc w:val="both"/>
        <w:textAlignment w:val="baseline"/>
        <w:rPr>
          <w:b/>
          <w:lang w:val="en-GB"/>
        </w:rPr>
      </w:pPr>
      <w:r w:rsidRPr="00F2268F">
        <w:rPr>
          <w:b/>
          <w:lang w:val="en-GB"/>
        </w:rPr>
        <w:t>2. Describe Business Use Cases and do not forget to consider the proper ending of the use cases</w:t>
      </w:r>
    </w:p>
    <w:p w14:paraId="2464D59D" w14:textId="77777777" w:rsidR="00F2268F" w:rsidRPr="00F2268F" w:rsidRDefault="00F2268F" w:rsidP="00F2268F">
      <w:pPr>
        <w:suppressAutoHyphens/>
        <w:autoSpaceDN w:val="0"/>
        <w:jc w:val="both"/>
        <w:textAlignment w:val="baseline"/>
        <w:rPr>
          <w:lang w:val="en-US"/>
        </w:rPr>
      </w:pPr>
      <w:r w:rsidRPr="00F2268F">
        <w:rPr>
          <w:lang w:val="en-US"/>
        </w:rPr>
        <w:t>The descriptions in Business Uses Cases “download my data” and “share my data” should enable a wide range of implementations which encompass all existing and future system configurations.</w:t>
      </w:r>
    </w:p>
    <w:p w14:paraId="4B63A241" w14:textId="77777777" w:rsidR="00F2268F" w:rsidRPr="00F2268F" w:rsidRDefault="00F2268F" w:rsidP="00F2268F">
      <w:pPr>
        <w:suppressAutoHyphens/>
        <w:autoSpaceDN w:val="0"/>
        <w:jc w:val="both"/>
        <w:textAlignment w:val="baseline"/>
        <w:rPr>
          <w:lang w:val="en-US"/>
        </w:rPr>
      </w:pPr>
      <w:r w:rsidRPr="00F2268F">
        <w:rPr>
          <w:lang w:val="en-US"/>
        </w:rPr>
        <w:t>The proper ending of business use cases are particularly interesting for the energy sector, as these use cases are not fully implemented yet among Member States.</w:t>
      </w:r>
    </w:p>
    <w:p w14:paraId="4854769F" w14:textId="77777777" w:rsidR="00F2268F" w:rsidRPr="00F2268F" w:rsidRDefault="00F2268F" w:rsidP="00F2268F">
      <w:pPr>
        <w:rPr>
          <w:lang w:val="en-GB"/>
        </w:rPr>
      </w:pPr>
      <w:r w:rsidRPr="00F2268F">
        <w:rPr>
          <w:lang w:val="en-GB"/>
        </w:rPr>
        <w:t xml:space="preserve">For many applications, customer consent collection has been set in place by data providers in various domains (contact data, house sensor data, mail data, energy data…) to enable controlled data sharing by third parties with respect to GDPR. </w:t>
      </w:r>
    </w:p>
    <w:p w14:paraId="6B5797E3" w14:textId="77777777" w:rsidR="00F2268F" w:rsidRPr="00F2268F" w:rsidRDefault="00F2268F" w:rsidP="00F2268F">
      <w:pPr>
        <w:rPr>
          <w:b/>
          <w:lang w:val="en-GB"/>
        </w:rPr>
      </w:pPr>
      <w:r w:rsidRPr="00F2268F">
        <w:rPr>
          <w:lang w:val="en-GB"/>
        </w:rPr>
        <w:t>In this case the customer is usually free to revoke his consent any time, whatever the consequences for the third parties which provide emerging services. In other words, the propagation of a consent revocation to concerned service providers is not standardised. Because this situation may disturb the contractual relationship with the service provider, it is recommended to implement an information exchange between the consent registry responsible and the service provider so that the last one can be automatically informed of a consent revocation. To sum up, if a consent is revoked, all concerned service providers must reliably be informed to handle future activities and GDPR obligations.</w:t>
      </w:r>
    </w:p>
    <w:p w14:paraId="1A6ACF69" w14:textId="77777777" w:rsidR="00F2268F" w:rsidRPr="00F2268F" w:rsidRDefault="00F2268F" w:rsidP="00F2268F">
      <w:pPr>
        <w:rPr>
          <w:lang w:val="en-US"/>
        </w:rPr>
      </w:pPr>
      <w:r w:rsidRPr="00F2268F">
        <w:rPr>
          <w:lang w:val="en-GB"/>
        </w:rPr>
        <w:t xml:space="preserve">In addition to this, the propagation of a service termination to data providers has not been standardised. This situation leads up to still active data access grants whereas the service is not used anymore: the customer expects the data access to be automatically stopped, but the service provider may potentially keep valid grants to access customer’s data. In an ideal process, the loop would be properly closed and the consent registry responsible would be informed of service termination, in order to de-activate consent and related grants. For this reason it is recommended to implement this information exchange in “share my data” and related “service termination” business use cases. To sum up, </w:t>
      </w:r>
      <w:proofErr w:type="spellStart"/>
      <w:r w:rsidRPr="00F2268F">
        <w:rPr>
          <w:lang w:val="en-GB"/>
        </w:rPr>
        <w:t>i</w:t>
      </w:r>
      <w:proofErr w:type="spellEnd"/>
      <w:r w:rsidRPr="00F2268F">
        <w:rPr>
          <w:lang w:val="en-US"/>
        </w:rPr>
        <w:t>f an external service is cancelled, the Consent Registry need to be informed to handle future activities and GDPR obligations. Service termination must propagate consent termination.</w:t>
      </w:r>
    </w:p>
    <w:p w14:paraId="0EA3B103" w14:textId="77777777" w:rsidR="00F2268F" w:rsidRPr="00F2268F" w:rsidRDefault="00F2268F" w:rsidP="00F2268F">
      <w:pPr>
        <w:rPr>
          <w:lang w:val="en-US"/>
        </w:rPr>
      </w:pPr>
      <w:r w:rsidRPr="00F2268F">
        <w:rPr>
          <w:lang w:val="en-US"/>
        </w:rPr>
        <w:t>The present document describes four relevant Business use cases in appendix relating to “download my data”, “share my data”, “revoke consent” and “terminate service”. Member States may can use these Use Cases to reach interoperability</w:t>
      </w:r>
    </w:p>
    <w:p w14:paraId="38CA669B" w14:textId="77777777" w:rsidR="00F2268F" w:rsidRPr="00F2268F" w:rsidRDefault="00F2268F" w:rsidP="00F2268F">
      <w:pPr>
        <w:rPr>
          <w:b/>
          <w:lang w:val="en-GB"/>
        </w:rPr>
      </w:pPr>
    </w:p>
    <w:p w14:paraId="47CF09B9" w14:textId="77777777" w:rsidR="00F2268F" w:rsidRPr="00F2268F" w:rsidRDefault="00F2268F" w:rsidP="00F2268F">
      <w:pPr>
        <w:suppressAutoHyphens/>
        <w:autoSpaceDN w:val="0"/>
        <w:jc w:val="both"/>
        <w:textAlignment w:val="baseline"/>
        <w:rPr>
          <w:b/>
          <w:lang w:val="en-GB"/>
        </w:rPr>
      </w:pPr>
      <w:r w:rsidRPr="00F2268F">
        <w:rPr>
          <w:b/>
          <w:lang w:val="en-GB"/>
        </w:rPr>
        <w:t>3. Use a common information model and carefully address practical issues, on all levels; no matter how small they might seem, they could hamper convergence.</w:t>
      </w:r>
    </w:p>
    <w:p w14:paraId="6CB4C7A2" w14:textId="77777777" w:rsidR="00F2268F" w:rsidRPr="00F2268F" w:rsidRDefault="00F2268F" w:rsidP="00F2268F">
      <w:pPr>
        <w:suppressAutoHyphens/>
        <w:autoSpaceDN w:val="0"/>
        <w:jc w:val="both"/>
        <w:textAlignment w:val="baseline"/>
        <w:rPr>
          <w:lang w:val="en-US"/>
        </w:rPr>
      </w:pPr>
      <w:r w:rsidRPr="00F2268F">
        <w:rPr>
          <w:lang w:val="en-GB"/>
        </w:rPr>
        <w:t xml:space="preserve">The fast growth of emerging services will be possible when use </w:t>
      </w:r>
      <w:r w:rsidRPr="00F2268F">
        <w:rPr>
          <w:lang w:val="en-US"/>
        </w:rPr>
        <w:t>data formats will base on a common “reference ontology” which will define univocally a core minimum list of reference terms covering master data (information related to the customer), metering data (information related to the consumption/generation) and consent data (information on the consent for data sharing).</w:t>
      </w:r>
    </w:p>
    <w:p w14:paraId="6E5B925A" w14:textId="77777777" w:rsidR="00F2268F" w:rsidRPr="00F2268F" w:rsidRDefault="00F2268F" w:rsidP="00F2268F">
      <w:pPr>
        <w:rPr>
          <w:lang w:val="en-GB"/>
        </w:rPr>
      </w:pPr>
      <w:r w:rsidRPr="00F2268F">
        <w:rPr>
          <w:lang w:val="en-GB"/>
        </w:rPr>
        <w:lastRenderedPageBreak/>
        <w:t xml:space="preserve">Master data relates to commonly used data/identifiers like customer ID, metering point ID. In this respect, data has been usually harmonized at national level, but the systems are not using the same references so that a European harmonisation would impact utilities IT systems so strongly that it would make no </w:t>
      </w:r>
      <w:proofErr w:type="spellStart"/>
      <w:r w:rsidRPr="00F2268F">
        <w:rPr>
          <w:lang w:val="en-GB"/>
        </w:rPr>
        <w:t>economical</w:t>
      </w:r>
      <w:proofErr w:type="spellEnd"/>
      <w:r w:rsidRPr="00F2268F">
        <w:rPr>
          <w:lang w:val="en-GB"/>
        </w:rPr>
        <w:t xml:space="preserve"> sense. </w:t>
      </w:r>
    </w:p>
    <w:p w14:paraId="4A0A7451" w14:textId="77777777" w:rsidR="00F2268F" w:rsidRPr="00F2268F" w:rsidRDefault="00F2268F" w:rsidP="00F2268F">
      <w:pPr>
        <w:rPr>
          <w:lang w:val="en-GB"/>
        </w:rPr>
      </w:pPr>
      <w:r w:rsidRPr="00F2268F">
        <w:rPr>
          <w:lang w:val="en-GB"/>
        </w:rPr>
        <w:t xml:space="preserve">Reference data relates to common standardized representations used as well for master or meter data: units, time, addresses. If units and time representations are now following universal representations and are easily described in </w:t>
      </w:r>
      <w:proofErr w:type="gramStart"/>
      <w:r w:rsidRPr="00F2268F">
        <w:rPr>
          <w:lang w:val="en-GB"/>
        </w:rPr>
        <w:t>an</w:t>
      </w:r>
      <w:proofErr w:type="gramEnd"/>
      <w:r w:rsidRPr="00F2268F">
        <w:rPr>
          <w:lang w:val="en-GB"/>
        </w:rPr>
        <w:t xml:space="preserve"> universal format, there is currently no European standard to characterise an address. A generic shared ontology would be welcomed. This ontology should also be able to integrate the separate notions of “metering point” and “delivery point” – which can both differ in locational terms from the customer location.</w:t>
      </w:r>
    </w:p>
    <w:p w14:paraId="0E1D1761" w14:textId="77777777" w:rsidR="00F2268F" w:rsidRPr="00F2268F" w:rsidRDefault="00F2268F" w:rsidP="00F2268F">
      <w:pPr>
        <w:rPr>
          <w:b/>
          <w:lang w:val="en-GB"/>
        </w:rPr>
      </w:pPr>
      <w:r w:rsidRPr="00F2268F">
        <w:rPr>
          <w:lang w:val="en-GB"/>
        </w:rPr>
        <w:t xml:space="preserve">The present document gives a list of existing standards that cover </w:t>
      </w:r>
      <w:proofErr w:type="spellStart"/>
      <w:r w:rsidRPr="00F2268F">
        <w:rPr>
          <w:lang w:val="en-GB"/>
        </w:rPr>
        <w:t>informations</w:t>
      </w:r>
      <w:proofErr w:type="spellEnd"/>
      <w:r w:rsidRPr="00F2268F">
        <w:rPr>
          <w:lang w:val="en-GB"/>
        </w:rPr>
        <w:t xml:space="preserve"> needed for Business Use Cases and can be used to reach interoperability.</w:t>
      </w:r>
    </w:p>
    <w:p w14:paraId="4C4432EB" w14:textId="268617BA" w:rsidR="006910A1" w:rsidRDefault="006910A1" w:rsidP="006910A1">
      <w:pPr>
        <w:rPr>
          <w:rFonts w:ascii="Cambria" w:hAnsi="Cambria" w:cs="Times New Roman"/>
          <w:b/>
          <w:color w:val="4F81BD"/>
          <w:sz w:val="24"/>
          <w:szCs w:val="24"/>
          <w:lang w:val="en-GB"/>
        </w:rPr>
      </w:pPr>
    </w:p>
    <w:p w14:paraId="563704DE" w14:textId="77777777" w:rsidR="005D5838" w:rsidRDefault="005D5838">
      <w:pPr>
        <w:spacing w:after="0" w:line="240" w:lineRule="auto"/>
        <w:rPr>
          <w:rFonts w:ascii="Cambria" w:hAnsi="Cambria" w:cs="Times New Roman"/>
          <w:b/>
          <w:color w:val="365F91"/>
          <w:sz w:val="28"/>
          <w:lang w:val="en-GB"/>
        </w:rPr>
      </w:pPr>
      <w:r>
        <w:rPr>
          <w:lang w:val="en-GB"/>
        </w:rPr>
        <w:br w:type="page"/>
      </w:r>
    </w:p>
    <w:p w14:paraId="014905A7" w14:textId="6BC60271" w:rsidR="005D5838" w:rsidRDefault="007E3DFA" w:rsidP="005D5838">
      <w:pPr>
        <w:pStyle w:val="Heading1"/>
        <w:numPr>
          <w:ilvl w:val="0"/>
          <w:numId w:val="0"/>
        </w:numPr>
        <w:pBdr>
          <w:top w:val="single" w:sz="4" w:space="0" w:color="000000"/>
          <w:left w:val="single" w:sz="4" w:space="0" w:color="000000"/>
          <w:bottom w:val="single" w:sz="4" w:space="0" w:color="000000"/>
          <w:right w:val="single" w:sz="4" w:space="0" w:color="000000"/>
        </w:pBdr>
        <w:shd w:val="clear" w:color="auto" w:fill="D9D9D9"/>
        <w:spacing w:before="0" w:after="200"/>
        <w:rPr>
          <w:lang w:val="en-GB"/>
        </w:rPr>
      </w:pPr>
      <w:bookmarkStart w:id="215" w:name="_Toc533261827"/>
      <w:r>
        <w:rPr>
          <w:lang w:val="en-GB"/>
        </w:rPr>
        <w:lastRenderedPageBreak/>
        <w:t>Main report: findings from the EG1 investigation on this topic</w:t>
      </w:r>
      <w:bookmarkEnd w:id="215"/>
    </w:p>
    <w:p w14:paraId="3FA27D0D" w14:textId="77777777" w:rsidR="009B2E79" w:rsidRPr="009B2E79" w:rsidRDefault="009B2E79" w:rsidP="009B2E79">
      <w:pPr>
        <w:rPr>
          <w:lang w:val="en-GB"/>
        </w:rPr>
      </w:pPr>
    </w:p>
    <w:p w14:paraId="554B529C" w14:textId="07B73B06" w:rsidR="005D5838" w:rsidRDefault="005D5838" w:rsidP="005F46EB">
      <w:pPr>
        <w:pStyle w:val="Heading1"/>
        <w:numPr>
          <w:ilvl w:val="0"/>
          <w:numId w:val="9"/>
        </w:numPr>
        <w:spacing w:before="0" w:after="200"/>
        <w:rPr>
          <w:lang w:val="en-GB"/>
        </w:rPr>
      </w:pPr>
      <w:bookmarkStart w:id="216" w:name="_Toc533261828"/>
      <w:r>
        <w:rPr>
          <w:lang w:val="en-GB"/>
        </w:rPr>
        <w:t>Introduction</w:t>
      </w:r>
      <w:bookmarkEnd w:id="216"/>
    </w:p>
    <w:p w14:paraId="788AEAD5" w14:textId="77777777" w:rsidR="005D5838" w:rsidRPr="005D5838" w:rsidRDefault="005D5838" w:rsidP="005D5838">
      <w:pPr>
        <w:jc w:val="both"/>
        <w:rPr>
          <w:lang w:val="en-GB"/>
        </w:rPr>
      </w:pPr>
      <w:r w:rsidRPr="005D5838">
        <w:rPr>
          <w:szCs w:val="22"/>
          <w:lang w:val="en-GB"/>
        </w:rPr>
        <w:t>Consumers are entitled, in line with the current legislation</w:t>
      </w:r>
      <w:r>
        <w:rPr>
          <w:vertAlign w:val="superscript"/>
        </w:rPr>
        <w:footnoteReference w:id="8"/>
      </w:r>
      <w:r w:rsidRPr="005D5838">
        <w:rPr>
          <w:szCs w:val="22"/>
          <w:lang w:val="en-GB"/>
        </w:rPr>
        <w:t>, to receive free of charge their electricity and gas consumption data, and allow access to it to any registered undertaking or a third party of their choice. It is the task of the national regulatory authority to facilitate this through an easily understandable and harmonised framework for the respective data</w:t>
      </w:r>
      <w:r>
        <w:rPr>
          <w:vertAlign w:val="superscript"/>
        </w:rPr>
        <w:footnoteReference w:id="9"/>
      </w:r>
      <w:r w:rsidRPr="005D5838">
        <w:rPr>
          <w:szCs w:val="22"/>
          <w:lang w:val="en-GB"/>
        </w:rPr>
        <w:t>. These provisions are meant to ease consumers' access and understanding of their own consumption, and use of this information to compare offers from energy suppliers or other service providers – including different tariff options. Moreover, the introduction of smart meters, further enriches this data</w:t>
      </w:r>
      <w:r>
        <w:rPr>
          <w:vertAlign w:val="superscript"/>
        </w:rPr>
        <w:footnoteReference w:id="10"/>
      </w:r>
      <w:r w:rsidRPr="005D5838">
        <w:rPr>
          <w:szCs w:val="22"/>
          <w:lang w:val="en-GB"/>
        </w:rPr>
        <w:t xml:space="preserve"> and could be used to create and offer to consumers broader value propositions beyond energy supply.</w:t>
      </w:r>
    </w:p>
    <w:p w14:paraId="045FF4C7" w14:textId="77777777" w:rsidR="005D5838" w:rsidRPr="005D5838" w:rsidRDefault="005D5838" w:rsidP="005D5838">
      <w:pPr>
        <w:jc w:val="both"/>
        <w:rPr>
          <w:szCs w:val="22"/>
          <w:lang w:val="en-GB"/>
        </w:rPr>
      </w:pPr>
      <w:r w:rsidRPr="005D5838">
        <w:rPr>
          <w:szCs w:val="22"/>
          <w:lang w:val="en-GB"/>
        </w:rPr>
        <w:t>To facilitate this, and ensure that the required access and data exchanges among eligible parties happen via trusted mechanisms, in a transparent and non-discriminatory manner, standardised national arrangements need to be in place. These should cover a semantic model of the data to be exchanged, the content of data, the format in which data is provided to parties, and the systems and procedures, including communications protocols, used for control, access and the exchange of this data, in line with the EU General Data Protection Regulation</w:t>
      </w:r>
      <w:r>
        <w:rPr>
          <w:rStyle w:val="FootnoteReference"/>
          <w:szCs w:val="22"/>
          <w:lang w:val="en-GB"/>
        </w:rPr>
        <w:footnoteReference w:id="11"/>
      </w:r>
      <w:r w:rsidRPr="005D5838">
        <w:rPr>
          <w:szCs w:val="22"/>
          <w:lang w:val="en-GB"/>
        </w:rPr>
        <w:t>. Convergence in such arrangements could facilitate the interoperability of cross-border services and products, serving the interests of the internal energy market and of its consumers.</w:t>
      </w:r>
    </w:p>
    <w:p w14:paraId="703E3275" w14:textId="77777777" w:rsidR="005D5838" w:rsidRPr="005D5838" w:rsidRDefault="005D5838" w:rsidP="005D5838">
      <w:pPr>
        <w:jc w:val="both"/>
        <w:rPr>
          <w:szCs w:val="22"/>
          <w:lang w:val="en-GB"/>
        </w:rPr>
      </w:pPr>
      <w:r w:rsidRPr="005D5838">
        <w:rPr>
          <w:szCs w:val="22"/>
          <w:lang w:val="en-GB"/>
        </w:rPr>
        <w:t>This Working Group investigated how best to move forward towards such a common framework and converging of national practices in the EU regarding data</w:t>
      </w:r>
      <w:r>
        <w:rPr>
          <w:rStyle w:val="FootnoteReference"/>
          <w:szCs w:val="22"/>
          <w:lang w:val="en-GB"/>
        </w:rPr>
        <w:footnoteReference w:id="12"/>
      </w:r>
      <w:r w:rsidRPr="005D5838">
        <w:rPr>
          <w:szCs w:val="22"/>
          <w:lang w:val="en-GB"/>
        </w:rPr>
        <w:t xml:space="preserve"> access and exchange, for both electricity and gas. </w:t>
      </w:r>
    </w:p>
    <w:p w14:paraId="1D22AD3D" w14:textId="634616D8" w:rsidR="005D5838" w:rsidRDefault="005D5838" w:rsidP="005D5838">
      <w:pPr>
        <w:jc w:val="both"/>
        <w:rPr>
          <w:szCs w:val="22"/>
          <w:lang w:val="en-GB"/>
        </w:rPr>
      </w:pPr>
      <w:r w:rsidRPr="005D5838">
        <w:rPr>
          <w:szCs w:val="22"/>
          <w:lang w:val="en-GB"/>
        </w:rPr>
        <w:t>The outcome of its work is a set of recommendations, framed following consensus amongst its members, on the scope and coverage of a potentially specific secondary EU legislation that will set up such common arrangements and facilitate the interoperability of cross-border energy services within the EU.</w:t>
      </w:r>
    </w:p>
    <w:p w14:paraId="12E73C28" w14:textId="1F98D23D" w:rsidR="005D5838" w:rsidRDefault="005D5838" w:rsidP="005D5838">
      <w:pPr>
        <w:jc w:val="both"/>
        <w:rPr>
          <w:szCs w:val="22"/>
          <w:lang w:val="en-GB"/>
        </w:rPr>
      </w:pPr>
    </w:p>
    <w:p w14:paraId="4DA1AB7D" w14:textId="1242072F" w:rsidR="005D5838" w:rsidRDefault="005D5838" w:rsidP="005F46EB">
      <w:pPr>
        <w:pStyle w:val="Heading1"/>
        <w:numPr>
          <w:ilvl w:val="0"/>
          <w:numId w:val="9"/>
        </w:numPr>
        <w:spacing w:before="0" w:after="200"/>
        <w:rPr>
          <w:lang w:val="en-GB"/>
        </w:rPr>
      </w:pPr>
      <w:bookmarkStart w:id="217" w:name="_Toc533261829"/>
      <w:r>
        <w:rPr>
          <w:lang w:val="en-GB"/>
        </w:rPr>
        <w:t>Approach</w:t>
      </w:r>
      <w:bookmarkEnd w:id="217"/>
    </w:p>
    <w:p w14:paraId="060CA8B6" w14:textId="326FD5C1" w:rsidR="005D5838" w:rsidRDefault="005D5838" w:rsidP="005D5838">
      <w:pPr>
        <w:jc w:val="both"/>
        <w:rPr>
          <w:szCs w:val="22"/>
          <w:lang w:val="en-GB"/>
        </w:rPr>
      </w:pPr>
      <w:r>
        <w:rPr>
          <w:szCs w:val="22"/>
          <w:lang w:val="en-GB"/>
        </w:rPr>
        <w:t xml:space="preserve">The Group agreed, when drawing its terms of reference, that during its first phase of activities, </w:t>
      </w:r>
      <w:r w:rsidR="00AD7222">
        <w:rPr>
          <w:szCs w:val="22"/>
          <w:lang w:val="en-GB"/>
        </w:rPr>
        <w:t>would</w:t>
      </w:r>
      <w:r>
        <w:rPr>
          <w:szCs w:val="22"/>
          <w:lang w:val="en-GB"/>
        </w:rPr>
        <w:t xml:space="preserve"> map national practices in the EU regarding data access and exchange, and then identify commonalities, differences and room for convergence, and consequently how to bridge the gaps focusing on reaching </w:t>
      </w:r>
      <w:r>
        <w:rPr>
          <w:szCs w:val="22"/>
          <w:lang w:val="en-GB"/>
        </w:rPr>
        <w:lastRenderedPageBreak/>
        <w:t xml:space="preserve">and maintaining interoperability (see roadmap). </w:t>
      </w:r>
      <w:r w:rsidR="00AD7222">
        <w:rPr>
          <w:szCs w:val="22"/>
          <w:lang w:val="en-GB"/>
        </w:rPr>
        <w:t xml:space="preserve">In doing so, there was an attempt to also inform the investigation with some first thoughts on </w:t>
      </w:r>
      <w:r>
        <w:rPr>
          <w:szCs w:val="22"/>
          <w:lang w:val="en-GB"/>
        </w:rPr>
        <w:t xml:space="preserve">cost and benefit drivers for such an operation. </w:t>
      </w:r>
    </w:p>
    <w:p w14:paraId="2EB0F3CF" w14:textId="47603BDF" w:rsidR="005D5838" w:rsidRDefault="005D5838" w:rsidP="005D5838">
      <w:pPr>
        <w:jc w:val="both"/>
        <w:rPr>
          <w:szCs w:val="22"/>
          <w:lang w:val="en-GB"/>
        </w:rPr>
      </w:pPr>
      <w:r>
        <w:rPr>
          <w:szCs w:val="22"/>
          <w:lang w:val="en-GB"/>
        </w:rPr>
        <w:t xml:space="preserve">The work proceeded in line with this agreement. Furthermore, the Group reached consensus on the detailed strategy </w:t>
      </w:r>
      <w:r w:rsidR="00AD7222">
        <w:rPr>
          <w:szCs w:val="22"/>
          <w:lang w:val="en-GB"/>
        </w:rPr>
        <w:t>that it</w:t>
      </w:r>
      <w:r>
        <w:rPr>
          <w:szCs w:val="22"/>
          <w:lang w:val="en-GB"/>
        </w:rPr>
        <w:t xml:space="preserve"> follow</w:t>
      </w:r>
      <w:r w:rsidR="00AD7222">
        <w:rPr>
          <w:szCs w:val="22"/>
          <w:lang w:val="en-GB"/>
        </w:rPr>
        <w:t>ed</w:t>
      </w:r>
      <w:r>
        <w:rPr>
          <w:szCs w:val="22"/>
          <w:lang w:val="en-GB"/>
        </w:rPr>
        <w:t xml:space="preserve"> </w:t>
      </w:r>
      <w:r w:rsidR="00AD7222">
        <w:rPr>
          <w:szCs w:val="22"/>
          <w:lang w:val="en-GB"/>
        </w:rPr>
        <w:t>in order</w:t>
      </w:r>
      <w:r>
        <w:rPr>
          <w:szCs w:val="22"/>
          <w:lang w:val="en-GB"/>
        </w:rPr>
        <w:t xml:space="preserve"> to speed up the progress and tackle this complex task. In detail, in this</w:t>
      </w:r>
      <w:r w:rsidR="00AD7222">
        <w:rPr>
          <w:szCs w:val="22"/>
          <w:lang w:val="en-GB"/>
        </w:rPr>
        <w:t xml:space="preserve"> investigation, </w:t>
      </w:r>
      <w:r>
        <w:rPr>
          <w:szCs w:val="22"/>
          <w:lang w:val="en-GB"/>
        </w:rPr>
        <w:t>it was agreed to:</w:t>
      </w:r>
    </w:p>
    <w:p w14:paraId="55860DB0" w14:textId="77777777" w:rsidR="005D5838" w:rsidRDefault="005D5838" w:rsidP="005F46EB">
      <w:pPr>
        <w:pStyle w:val="ListParagraph"/>
        <w:numPr>
          <w:ilvl w:val="0"/>
          <w:numId w:val="1"/>
        </w:numPr>
        <w:ind w:left="714" w:hanging="357"/>
        <w:jc w:val="both"/>
        <w:rPr>
          <w:lang w:val="en-GB"/>
        </w:rPr>
      </w:pPr>
      <w:r>
        <w:rPr>
          <w:szCs w:val="22"/>
          <w:lang w:val="en-GB"/>
        </w:rPr>
        <w:t>Consider both traditional and new and emerging processes</w:t>
      </w:r>
      <w:r>
        <w:rPr>
          <w:rStyle w:val="FootnoteReference"/>
          <w:szCs w:val="22"/>
          <w:lang w:val="en-GB"/>
        </w:rPr>
        <w:footnoteReference w:id="13"/>
      </w:r>
      <w:r>
        <w:rPr>
          <w:szCs w:val="22"/>
          <w:lang w:val="en-GB"/>
        </w:rPr>
        <w:t xml:space="preserve">, for electricity and gas, and launch parallel working streams to address them, </w:t>
      </w:r>
      <w:r>
        <w:rPr>
          <w:rFonts w:eastAsia="Times New Roman" w:cs="Times New Roman"/>
          <w:szCs w:val="22"/>
          <w:lang w:val="en-GB" w:eastAsia="en-GB"/>
        </w:rPr>
        <w:t xml:space="preserve">to allow ample time to deal with difficulties/obstacles in collecting and analysing data </w:t>
      </w:r>
      <w:r>
        <w:rPr>
          <w:szCs w:val="22"/>
          <w:lang w:val="en-GB"/>
        </w:rPr>
        <w:t>and</w:t>
      </w:r>
      <w:r>
        <w:rPr>
          <w:rFonts w:eastAsia="Times New Roman" w:cs="Times New Roman"/>
          <w:szCs w:val="22"/>
          <w:lang w:val="en-GB" w:eastAsia="en-GB"/>
        </w:rPr>
        <w:t xml:space="preserve"> to accordingly refine the convergence strategy and investigation based on best practices and lessons learnt (see Nordics' experience)</w:t>
      </w:r>
    </w:p>
    <w:p w14:paraId="12C7E957" w14:textId="77777777" w:rsidR="005D5838" w:rsidRDefault="005D5838" w:rsidP="005F46EB">
      <w:pPr>
        <w:pStyle w:val="ListParagraph"/>
        <w:numPr>
          <w:ilvl w:val="1"/>
          <w:numId w:val="1"/>
        </w:numPr>
        <w:ind w:left="1434" w:hanging="357"/>
        <w:jc w:val="both"/>
        <w:rPr>
          <w:lang w:val="en-GB"/>
        </w:rPr>
      </w:pPr>
      <w:r>
        <w:rPr>
          <w:rFonts w:eastAsia="Times New Roman" w:cs="Times New Roman"/>
          <w:szCs w:val="22"/>
          <w:lang w:val="en-GB" w:eastAsia="en-GB"/>
        </w:rPr>
        <w:t xml:space="preserve"> </w:t>
      </w:r>
      <w:r>
        <w:rPr>
          <w:szCs w:val="22"/>
          <w:lang w:val="en-GB"/>
        </w:rPr>
        <w:t xml:space="preserve">Traditional processes: starting first with </w:t>
      </w:r>
      <w:r>
        <w:rPr>
          <w:i/>
          <w:szCs w:val="22"/>
          <w:lang w:val="en-GB"/>
        </w:rPr>
        <w:t>Change of Supplier</w:t>
      </w:r>
      <w:r>
        <w:rPr>
          <w:szCs w:val="22"/>
          <w:lang w:val="en-GB"/>
        </w:rPr>
        <w:t xml:space="preserve">, and then </w:t>
      </w:r>
      <w:r>
        <w:rPr>
          <w:i/>
          <w:szCs w:val="22"/>
          <w:lang w:val="en-GB"/>
        </w:rPr>
        <w:t>Billing</w:t>
      </w:r>
      <w:r>
        <w:rPr>
          <w:szCs w:val="22"/>
          <w:lang w:val="en-GB"/>
        </w:rPr>
        <w:t>;</w:t>
      </w:r>
    </w:p>
    <w:p w14:paraId="1A4F5E43" w14:textId="77777777" w:rsidR="005D5838" w:rsidRDefault="005D5838" w:rsidP="005F46EB">
      <w:pPr>
        <w:pStyle w:val="ListParagraph"/>
        <w:numPr>
          <w:ilvl w:val="1"/>
          <w:numId w:val="1"/>
        </w:numPr>
        <w:jc w:val="both"/>
        <w:rPr>
          <w:lang w:val="en-GB"/>
        </w:rPr>
      </w:pPr>
      <w:r>
        <w:rPr>
          <w:szCs w:val="22"/>
          <w:lang w:val="en-GB"/>
        </w:rPr>
        <w:t xml:space="preserve"> </w:t>
      </w:r>
      <w:r>
        <w:rPr>
          <w:rFonts w:eastAsia="Times New Roman" w:cs="Times New Roman"/>
          <w:szCs w:val="22"/>
          <w:lang w:val="en-GB" w:eastAsia="en-GB"/>
        </w:rPr>
        <w:t>New &amp; Emerging services: (</w:t>
      </w:r>
      <w:proofErr w:type="spellStart"/>
      <w:r>
        <w:rPr>
          <w:rFonts w:eastAsia="Times New Roman" w:cs="Times New Roman"/>
          <w:szCs w:val="22"/>
          <w:lang w:val="en-GB" w:eastAsia="en-GB"/>
        </w:rPr>
        <w:t>i</w:t>
      </w:r>
      <w:proofErr w:type="spellEnd"/>
      <w:r>
        <w:rPr>
          <w:rFonts w:eastAsia="Times New Roman" w:cs="Times New Roman"/>
          <w:szCs w:val="22"/>
          <w:lang w:val="en-GB" w:eastAsia="en-GB"/>
        </w:rPr>
        <w:t xml:space="preserve">) </w:t>
      </w:r>
      <w:r>
        <w:rPr>
          <w:rFonts w:eastAsia="Times New Roman" w:cs="Times New Roman"/>
          <w:i/>
          <w:szCs w:val="22"/>
          <w:lang w:val="en-GB" w:eastAsia="en-GB"/>
        </w:rPr>
        <w:t xml:space="preserve">"Download my consumption/generation data"; (ii) </w:t>
      </w:r>
      <w:r>
        <w:rPr>
          <w:rFonts w:eastAsia="Times New Roman" w:cs="Times New Roman"/>
          <w:i/>
          <w:szCs w:val="22"/>
          <w:lang w:val="en-GB"/>
        </w:rPr>
        <w:t>"Giving access to my (consumption/generation) data to third parties (historical data)"; (iii) "Giving access to my (consumption/generation) data to third parties (near-real time data)”.</w:t>
      </w:r>
    </w:p>
    <w:p w14:paraId="71DFF7E5" w14:textId="77777777" w:rsidR="005D5838" w:rsidRDefault="005D5838" w:rsidP="005F46EB">
      <w:pPr>
        <w:pStyle w:val="ListParagraph"/>
        <w:numPr>
          <w:ilvl w:val="0"/>
          <w:numId w:val="1"/>
        </w:numPr>
        <w:jc w:val="both"/>
        <w:rPr>
          <w:szCs w:val="22"/>
          <w:lang w:val="en-GB"/>
        </w:rPr>
      </w:pPr>
      <w:r>
        <w:rPr>
          <w:szCs w:val="22"/>
          <w:lang w:val="en-GB"/>
        </w:rPr>
        <w:t>For each one of these processes, identify:</w:t>
      </w:r>
    </w:p>
    <w:p w14:paraId="3835F7F0" w14:textId="77777777" w:rsidR="005D5838" w:rsidRDefault="005D5838" w:rsidP="005F46EB">
      <w:pPr>
        <w:numPr>
          <w:ilvl w:val="1"/>
          <w:numId w:val="1"/>
        </w:numPr>
        <w:ind w:left="1434" w:hanging="357"/>
        <w:rPr>
          <w:lang w:val="en-GB"/>
        </w:rPr>
      </w:pPr>
      <w:r>
        <w:rPr>
          <w:rFonts w:eastAsia="Times New Roman"/>
          <w:color w:val="000000"/>
          <w:szCs w:val="22"/>
          <w:lang w:val="en-US" w:eastAsia="en-GB"/>
        </w:rPr>
        <w:t xml:space="preserve">roles and procedures (e.g. role model). </w:t>
      </w:r>
    </w:p>
    <w:p w14:paraId="097593D3" w14:textId="77777777" w:rsidR="005D5838" w:rsidRPr="005B6A57" w:rsidRDefault="005D5838" w:rsidP="005F46EB">
      <w:pPr>
        <w:numPr>
          <w:ilvl w:val="1"/>
          <w:numId w:val="1"/>
        </w:numPr>
        <w:ind w:left="1434" w:hanging="357"/>
        <w:rPr>
          <w:lang w:val="en-US"/>
        </w:rPr>
      </w:pPr>
      <w:r>
        <w:rPr>
          <w:rFonts w:eastAsia="Times New Roman"/>
          <w:color w:val="000000"/>
          <w:szCs w:val="22"/>
          <w:lang w:val="en-US" w:eastAsia="en-GB"/>
        </w:rPr>
        <w:t xml:space="preserve">type of information exchanged (semantic model, identifiers, etc.). </w:t>
      </w:r>
    </w:p>
    <w:p w14:paraId="7EB4ACC3" w14:textId="77777777" w:rsidR="005D5838" w:rsidRDefault="005D5838" w:rsidP="005F46EB">
      <w:pPr>
        <w:numPr>
          <w:ilvl w:val="1"/>
          <w:numId w:val="1"/>
        </w:numPr>
        <w:ind w:left="1434" w:hanging="357"/>
        <w:rPr>
          <w:lang w:val="en-GB"/>
        </w:rPr>
      </w:pPr>
      <w:r>
        <w:rPr>
          <w:rFonts w:eastAsia="Times New Roman"/>
          <w:color w:val="000000"/>
          <w:szCs w:val="22"/>
          <w:lang w:val="en-US" w:eastAsia="en-GB"/>
        </w:rPr>
        <w:t>data formats used (XML, CSV, …)</w:t>
      </w:r>
    </w:p>
    <w:p w14:paraId="7454ADFF" w14:textId="77777777" w:rsidR="005D5838" w:rsidRPr="00333305" w:rsidRDefault="005D5838" w:rsidP="005F46EB">
      <w:pPr>
        <w:numPr>
          <w:ilvl w:val="1"/>
          <w:numId w:val="1"/>
        </w:numPr>
        <w:rPr>
          <w:rFonts w:eastAsia="Times New Roman" w:cs="Times New Roman"/>
          <w:szCs w:val="22"/>
          <w:lang w:val="en-GB" w:eastAsia="en-GB"/>
        </w:rPr>
      </w:pPr>
      <w:r>
        <w:rPr>
          <w:rFonts w:eastAsia="Times New Roman"/>
          <w:color w:val="000000"/>
          <w:szCs w:val="22"/>
          <w:lang w:val="en-US" w:eastAsia="en-GB"/>
        </w:rPr>
        <w:t>data exchange technology used (HTTP, FTP, Platforms, security, data privacy, performance, validation, authentication, non-repudiation,</w:t>
      </w:r>
      <w:r>
        <w:rPr>
          <w:rFonts w:eastAsia="Times New Roman"/>
          <w:color w:val="FF0000"/>
          <w:szCs w:val="22"/>
          <w:lang w:val="en-US" w:eastAsia="en-GB"/>
        </w:rPr>
        <w:t xml:space="preserve"> </w:t>
      </w:r>
      <w:r>
        <w:rPr>
          <w:rFonts w:eastAsia="Times New Roman"/>
          <w:color w:val="000000"/>
          <w:szCs w:val="22"/>
          <w:lang w:val="en-US" w:eastAsia="en-GB"/>
        </w:rPr>
        <w:t>…)</w:t>
      </w:r>
    </w:p>
    <w:p w14:paraId="6FA404E6" w14:textId="77777777" w:rsidR="005D5838" w:rsidRDefault="005D5838" w:rsidP="005F46EB">
      <w:pPr>
        <w:numPr>
          <w:ilvl w:val="0"/>
          <w:numId w:val="1"/>
        </w:numPr>
        <w:ind w:left="714" w:hanging="357"/>
        <w:jc w:val="both"/>
        <w:rPr>
          <w:lang w:val="en-GB"/>
        </w:rPr>
      </w:pPr>
      <w:r>
        <w:rPr>
          <w:rFonts w:eastAsia="Times New Roman" w:cs="Times New Roman"/>
          <w:szCs w:val="22"/>
          <w:lang w:val="en-GB" w:eastAsia="en-GB"/>
        </w:rPr>
        <w:t>Draft a common, basic, template</w:t>
      </w:r>
      <w:r>
        <w:rPr>
          <w:szCs w:val="22"/>
          <w:lang w:val="en-GB"/>
        </w:rPr>
        <w:t xml:space="preserve"> to be used for the description of processes and ease benchmarking</w:t>
      </w:r>
    </w:p>
    <w:p w14:paraId="799CF82D" w14:textId="77777777" w:rsidR="00AD7222" w:rsidRPr="00AD7222" w:rsidRDefault="005D5838" w:rsidP="005F46EB">
      <w:pPr>
        <w:numPr>
          <w:ilvl w:val="1"/>
          <w:numId w:val="1"/>
        </w:numPr>
        <w:jc w:val="both"/>
        <w:rPr>
          <w:lang w:val="en-GB"/>
        </w:rPr>
      </w:pPr>
      <w:r>
        <w:rPr>
          <w:szCs w:val="22"/>
          <w:lang w:val="en-GB"/>
        </w:rPr>
        <w:t>run it at first instance for few countries (</w:t>
      </w:r>
      <w:r w:rsidR="00AD7222">
        <w:rPr>
          <w:szCs w:val="22"/>
          <w:lang w:val="en-GB"/>
        </w:rPr>
        <w:t xml:space="preserve">mainly those for which </w:t>
      </w:r>
      <w:r>
        <w:rPr>
          <w:szCs w:val="22"/>
          <w:lang w:val="en-GB"/>
        </w:rPr>
        <w:t>members ha</w:t>
      </w:r>
      <w:r w:rsidR="00AD7222">
        <w:rPr>
          <w:szCs w:val="22"/>
          <w:lang w:val="en-GB"/>
        </w:rPr>
        <w:t>d</w:t>
      </w:r>
      <w:r>
        <w:rPr>
          <w:szCs w:val="22"/>
          <w:lang w:val="en-GB"/>
        </w:rPr>
        <w:t xml:space="preserve"> better access to information) to get </w:t>
      </w:r>
      <w:r w:rsidR="00AD7222">
        <w:rPr>
          <w:szCs w:val="22"/>
          <w:lang w:val="en-GB"/>
        </w:rPr>
        <w:t>indications</w:t>
      </w:r>
      <w:r>
        <w:rPr>
          <w:szCs w:val="22"/>
          <w:lang w:val="en-GB"/>
        </w:rPr>
        <w:t xml:space="preserve"> </w:t>
      </w:r>
      <w:r w:rsidR="00AD7222">
        <w:rPr>
          <w:szCs w:val="22"/>
          <w:lang w:val="en-GB"/>
        </w:rPr>
        <w:t>on</w:t>
      </w:r>
      <w:r>
        <w:rPr>
          <w:szCs w:val="22"/>
          <w:lang w:val="en-GB"/>
        </w:rPr>
        <w:t xml:space="preserve"> common features and differences, and later confirm th</w:t>
      </w:r>
      <w:r w:rsidR="00AD7222">
        <w:rPr>
          <w:szCs w:val="22"/>
          <w:lang w:val="en-GB"/>
        </w:rPr>
        <w:t>e</w:t>
      </w:r>
      <w:r>
        <w:rPr>
          <w:szCs w:val="22"/>
          <w:lang w:val="en-GB"/>
        </w:rPr>
        <w:t xml:space="preserve">se based on a wider sampling; </w:t>
      </w:r>
    </w:p>
    <w:p w14:paraId="025CCFBD" w14:textId="602C5DBD" w:rsidR="005D5838" w:rsidRPr="00C87D1E" w:rsidRDefault="005D5838" w:rsidP="005F46EB">
      <w:pPr>
        <w:numPr>
          <w:ilvl w:val="1"/>
          <w:numId w:val="1"/>
        </w:numPr>
        <w:jc w:val="both"/>
        <w:rPr>
          <w:lang w:val="en-GB"/>
        </w:rPr>
      </w:pPr>
      <w:r>
        <w:rPr>
          <w:szCs w:val="22"/>
          <w:lang w:val="en-GB"/>
        </w:rPr>
        <w:t xml:space="preserve">in the light of the above </w:t>
      </w:r>
      <w:r w:rsidR="00AD7222">
        <w:rPr>
          <w:szCs w:val="22"/>
          <w:lang w:val="en-GB"/>
        </w:rPr>
        <w:t>proceed with the investigation on the potential</w:t>
      </w:r>
      <w:r>
        <w:rPr>
          <w:szCs w:val="22"/>
          <w:lang w:val="en-GB"/>
        </w:rPr>
        <w:t xml:space="preserve"> for convergence of national arrangements. </w:t>
      </w:r>
    </w:p>
    <w:p w14:paraId="44C63827" w14:textId="127131F6" w:rsidR="005D5838" w:rsidRDefault="005D5838" w:rsidP="005D5838">
      <w:pPr>
        <w:jc w:val="both"/>
        <w:rPr>
          <w:szCs w:val="22"/>
          <w:lang w:val="en-GB"/>
        </w:rPr>
      </w:pPr>
      <w:r w:rsidRPr="00D57768">
        <w:rPr>
          <w:szCs w:val="22"/>
          <w:lang w:val="en-GB"/>
        </w:rPr>
        <w:t>At the same time, the Group agreed to comment, and give feedback to</w:t>
      </w:r>
      <w:r>
        <w:rPr>
          <w:szCs w:val="22"/>
          <w:lang w:val="en-GB"/>
        </w:rPr>
        <w:t xml:space="preserve"> </w:t>
      </w:r>
      <w:r w:rsidRPr="00D57768">
        <w:rPr>
          <w:szCs w:val="22"/>
          <w:lang w:val="en-GB"/>
        </w:rPr>
        <w:t>an external study</w:t>
      </w:r>
      <w:r w:rsidR="00AD7222">
        <w:rPr>
          <w:rStyle w:val="FootnoteReference"/>
          <w:szCs w:val="22"/>
          <w:lang w:val="en-GB"/>
        </w:rPr>
        <w:footnoteReference w:id="14"/>
      </w:r>
      <w:r w:rsidRPr="00D57768">
        <w:rPr>
          <w:szCs w:val="22"/>
          <w:lang w:val="en-GB"/>
        </w:rPr>
        <w:t xml:space="preserve"> launched by the Commission on national practices for electricity and gas data access and exchange. The findings of this study, regarding particularly elements on data management arrangements and role models for these processes, provide</w:t>
      </w:r>
      <w:r>
        <w:rPr>
          <w:szCs w:val="22"/>
          <w:lang w:val="en-GB"/>
        </w:rPr>
        <w:t>d</w:t>
      </w:r>
      <w:r w:rsidRPr="00D57768">
        <w:rPr>
          <w:szCs w:val="22"/>
          <w:lang w:val="en-GB"/>
        </w:rPr>
        <w:t xml:space="preserve"> </w:t>
      </w:r>
      <w:r>
        <w:rPr>
          <w:szCs w:val="22"/>
          <w:lang w:val="en-GB"/>
        </w:rPr>
        <w:t xml:space="preserve">also </w:t>
      </w:r>
      <w:r w:rsidR="00AD7222">
        <w:rPr>
          <w:szCs w:val="22"/>
          <w:lang w:val="en-GB"/>
        </w:rPr>
        <w:t>input to the Group's work</w:t>
      </w:r>
      <w:r>
        <w:rPr>
          <w:szCs w:val="22"/>
          <w:lang w:val="en-GB"/>
        </w:rPr>
        <w:t>.</w:t>
      </w:r>
    </w:p>
    <w:p w14:paraId="457E226F" w14:textId="77777777" w:rsidR="005D5838" w:rsidRDefault="005D5838" w:rsidP="005D5838">
      <w:pPr>
        <w:jc w:val="both"/>
        <w:rPr>
          <w:szCs w:val="22"/>
          <w:lang w:val="en-GB"/>
        </w:rPr>
      </w:pPr>
    </w:p>
    <w:p w14:paraId="268C6110" w14:textId="4BF35D26" w:rsidR="00632334" w:rsidRDefault="00227097" w:rsidP="005F46EB">
      <w:pPr>
        <w:pStyle w:val="Heading1"/>
        <w:numPr>
          <w:ilvl w:val="0"/>
          <w:numId w:val="9"/>
        </w:numPr>
        <w:spacing w:before="0" w:after="200"/>
        <w:rPr>
          <w:lang w:val="en-GB"/>
        </w:rPr>
      </w:pPr>
      <w:bookmarkStart w:id="218" w:name="_Toc533261830"/>
      <w:bookmarkStart w:id="219" w:name="_Toc498091854"/>
      <w:r w:rsidRPr="005D5838">
        <w:rPr>
          <w:lang w:val="en-GB"/>
        </w:rPr>
        <w:lastRenderedPageBreak/>
        <w:t>Interoperability of energy services and data access and exchange</w:t>
      </w:r>
      <w:bookmarkEnd w:id="218"/>
    </w:p>
    <w:p w14:paraId="524946EE" w14:textId="6590D947" w:rsidR="005D5838" w:rsidRPr="005D5838" w:rsidRDefault="00A3610A" w:rsidP="005F46EB">
      <w:pPr>
        <w:pStyle w:val="Heading2"/>
        <w:numPr>
          <w:ilvl w:val="1"/>
          <w:numId w:val="11"/>
        </w:numPr>
        <w:spacing w:after="200"/>
        <w:ind w:left="788" w:hanging="431"/>
        <w:rPr>
          <w:lang w:val="en-GB"/>
        </w:rPr>
      </w:pPr>
      <w:bookmarkStart w:id="220" w:name="_Toc533261831"/>
      <w:r>
        <w:rPr>
          <w:lang w:val="en-GB"/>
        </w:rPr>
        <w:t>General thoughts on interoperability</w:t>
      </w:r>
      <w:bookmarkEnd w:id="220"/>
    </w:p>
    <w:p w14:paraId="54FCE063" w14:textId="504A1965" w:rsidR="00632334" w:rsidRPr="00D01D64" w:rsidRDefault="009C1298" w:rsidP="005F46EB">
      <w:pPr>
        <w:pStyle w:val="Heading2"/>
        <w:numPr>
          <w:ilvl w:val="1"/>
          <w:numId w:val="11"/>
        </w:numPr>
        <w:spacing w:after="200"/>
        <w:ind w:left="788" w:hanging="431"/>
        <w:rPr>
          <w:lang w:val="en-GB"/>
        </w:rPr>
      </w:pPr>
      <w:bookmarkStart w:id="221" w:name="_Toc533261832"/>
      <w:bookmarkEnd w:id="219"/>
      <w:r w:rsidRPr="00D01D64">
        <w:rPr>
          <w:lang w:val="en-GB"/>
        </w:rPr>
        <w:t>Approach</w:t>
      </w:r>
      <w:r w:rsidR="00670A66">
        <w:rPr>
          <w:lang w:val="en-GB"/>
        </w:rPr>
        <w:t xml:space="preserve"> to interoperability</w:t>
      </w:r>
      <w:bookmarkEnd w:id="221"/>
    </w:p>
    <w:p w14:paraId="49754050" w14:textId="622685D8" w:rsidR="00632334" w:rsidRPr="00D01D64" w:rsidRDefault="00670A66" w:rsidP="005F46EB">
      <w:pPr>
        <w:pStyle w:val="Heading2"/>
        <w:numPr>
          <w:ilvl w:val="1"/>
          <w:numId w:val="11"/>
        </w:numPr>
        <w:spacing w:after="200"/>
        <w:ind w:left="788" w:hanging="431"/>
        <w:rPr>
          <w:lang w:val="en-GB"/>
        </w:rPr>
      </w:pPr>
      <w:bookmarkStart w:id="222" w:name="_Toc533261833"/>
      <w:r>
        <w:rPr>
          <w:lang w:val="en-GB"/>
        </w:rPr>
        <w:t xml:space="preserve">Reaching &amp; maintaining interoperability </w:t>
      </w:r>
      <w:r w:rsidR="00E44949">
        <w:rPr>
          <w:lang w:val="en-GB"/>
        </w:rPr>
        <w:t>in</w:t>
      </w:r>
      <w:r w:rsidR="00E26114">
        <w:rPr>
          <w:lang w:val="en-GB"/>
        </w:rPr>
        <w:t xml:space="preserve"> </w:t>
      </w:r>
      <w:r>
        <w:rPr>
          <w:lang w:val="en-GB"/>
        </w:rPr>
        <w:t>s</w:t>
      </w:r>
      <w:r w:rsidR="009C1298" w:rsidRPr="00D01D64">
        <w:rPr>
          <w:lang w:val="en-GB"/>
        </w:rPr>
        <w:t xml:space="preserve">pecific </w:t>
      </w:r>
      <w:r w:rsidR="00E44949">
        <w:rPr>
          <w:lang w:val="en-GB"/>
        </w:rPr>
        <w:t>processes/ U</w:t>
      </w:r>
      <w:r w:rsidR="009C1298" w:rsidRPr="00D01D64">
        <w:rPr>
          <w:lang w:val="en-GB"/>
        </w:rPr>
        <w:t>se Cases</w:t>
      </w:r>
      <w:bookmarkEnd w:id="222"/>
    </w:p>
    <w:p w14:paraId="1DE42923" w14:textId="2B92C5E0" w:rsidR="00632334" w:rsidRDefault="00E26114" w:rsidP="005F46EB">
      <w:pPr>
        <w:pStyle w:val="Heading2"/>
        <w:numPr>
          <w:ilvl w:val="1"/>
          <w:numId w:val="11"/>
        </w:numPr>
        <w:spacing w:after="200"/>
        <w:ind w:left="788" w:hanging="431"/>
        <w:rPr>
          <w:lang w:val="en-GB"/>
        </w:rPr>
      </w:pPr>
      <w:bookmarkStart w:id="223" w:name="_Toc533261834"/>
      <w:r>
        <w:rPr>
          <w:lang w:val="en-GB"/>
        </w:rPr>
        <w:t xml:space="preserve">Key </w:t>
      </w:r>
      <w:r w:rsidR="00670A66">
        <w:rPr>
          <w:lang w:val="en-GB"/>
        </w:rPr>
        <w:t>f</w:t>
      </w:r>
      <w:r>
        <w:rPr>
          <w:lang w:val="en-GB"/>
        </w:rPr>
        <w:t>indings</w:t>
      </w:r>
      <w:bookmarkEnd w:id="223"/>
    </w:p>
    <w:p w14:paraId="146F7AA7" w14:textId="1F67F880" w:rsidR="00380B6A" w:rsidRDefault="00380B6A" w:rsidP="00380B6A">
      <w:pPr>
        <w:pStyle w:val="Heading3"/>
        <w:numPr>
          <w:ilvl w:val="2"/>
          <w:numId w:val="11"/>
        </w:numPr>
        <w:spacing w:after="120"/>
        <w:rPr>
          <w:lang w:val="en-GB"/>
        </w:rPr>
      </w:pPr>
      <w:bookmarkStart w:id="224" w:name="_Toc533261835"/>
      <w:r>
        <w:rPr>
          <w:lang w:val="en-GB"/>
        </w:rPr>
        <w:t>Cost/benefit drivers</w:t>
      </w:r>
      <w:bookmarkEnd w:id="224"/>
    </w:p>
    <w:p w14:paraId="38BDF552" w14:textId="261788CA" w:rsidR="00380B6A" w:rsidRPr="00380B6A" w:rsidRDefault="00380B6A" w:rsidP="00380B6A">
      <w:pPr>
        <w:pStyle w:val="Heading3"/>
        <w:numPr>
          <w:ilvl w:val="2"/>
          <w:numId w:val="11"/>
        </w:numPr>
        <w:spacing w:after="120"/>
        <w:rPr>
          <w:lang w:val="en-GB"/>
        </w:rPr>
      </w:pPr>
      <w:bookmarkStart w:id="225" w:name="_Toc533261836"/>
      <w:r>
        <w:rPr>
          <w:lang w:val="en-GB"/>
        </w:rPr>
        <w:t>Interoperability over time - Governance</w:t>
      </w:r>
      <w:bookmarkEnd w:id="225"/>
    </w:p>
    <w:p w14:paraId="3E27A0C9" w14:textId="20589F8A" w:rsidR="00D01D64" w:rsidRPr="00E6031D" w:rsidRDefault="00E26114" w:rsidP="005F46EB">
      <w:pPr>
        <w:pStyle w:val="Heading2"/>
        <w:numPr>
          <w:ilvl w:val="1"/>
          <w:numId w:val="11"/>
        </w:numPr>
        <w:spacing w:after="200"/>
        <w:ind w:left="788" w:hanging="431"/>
        <w:rPr>
          <w:lang w:val="en-GB"/>
        </w:rPr>
      </w:pPr>
      <w:bookmarkStart w:id="226" w:name="_Toc533261837"/>
      <w:r>
        <w:rPr>
          <w:lang w:val="en-GB"/>
        </w:rPr>
        <w:t>Recommendations</w:t>
      </w:r>
      <w:bookmarkEnd w:id="226"/>
    </w:p>
    <w:p w14:paraId="550AF888" w14:textId="77777777" w:rsidR="00632334" w:rsidRPr="009C1298" w:rsidRDefault="00632334" w:rsidP="00512BA9">
      <w:pPr>
        <w:rPr>
          <w:lang w:val="en-GB"/>
        </w:rPr>
      </w:pPr>
    </w:p>
    <w:p w14:paraId="50DE3C67" w14:textId="54BD116C" w:rsidR="00D01D64" w:rsidRDefault="007E3DFA" w:rsidP="005F46EB">
      <w:pPr>
        <w:pStyle w:val="Heading1"/>
        <w:numPr>
          <w:ilvl w:val="0"/>
          <w:numId w:val="9"/>
        </w:numPr>
        <w:spacing w:before="0" w:after="200"/>
        <w:rPr>
          <w:lang w:val="en-GB"/>
        </w:rPr>
      </w:pPr>
      <w:bookmarkStart w:id="227" w:name="_Toc533261838"/>
      <w:r>
        <w:rPr>
          <w:lang w:val="en-GB"/>
        </w:rPr>
        <w:t>N</w:t>
      </w:r>
      <w:r w:rsidR="00380B6A">
        <w:rPr>
          <w:lang w:val="en-GB"/>
        </w:rPr>
        <w:t>ational practices</w:t>
      </w:r>
      <w:r w:rsidR="00227097" w:rsidRPr="00E26114">
        <w:rPr>
          <w:lang w:val="en-GB"/>
        </w:rPr>
        <w:t xml:space="preserve"> regarding data access and exchange </w:t>
      </w:r>
      <w:r>
        <w:rPr>
          <w:lang w:val="en-GB"/>
        </w:rPr>
        <w:t>&amp; room for convergence</w:t>
      </w:r>
      <w:bookmarkEnd w:id="227"/>
    </w:p>
    <w:p w14:paraId="7E04B1FD" w14:textId="77777777" w:rsidR="005A68BA" w:rsidRPr="005A68BA" w:rsidRDefault="005A68BA" w:rsidP="005F46EB">
      <w:pPr>
        <w:pStyle w:val="ListParagraph"/>
        <w:keepNext/>
        <w:keepLines/>
        <w:numPr>
          <w:ilvl w:val="0"/>
          <w:numId w:val="13"/>
        </w:numPr>
        <w:spacing w:before="200" w:after="0" w:line="240" w:lineRule="auto"/>
        <w:outlineLvl w:val="1"/>
        <w:rPr>
          <w:rFonts w:ascii="Cambria" w:hAnsi="Cambria" w:cs="Times New Roman"/>
          <w:vanish/>
          <w:color w:val="4F81BD"/>
          <w:sz w:val="26"/>
          <w:lang w:val="en-GB"/>
        </w:rPr>
      </w:pPr>
      <w:bookmarkStart w:id="228" w:name="_Toc530494678"/>
      <w:bookmarkStart w:id="229" w:name="_Toc530495442"/>
      <w:bookmarkStart w:id="230" w:name="_Toc530495543"/>
      <w:bookmarkStart w:id="231" w:name="_Toc530496575"/>
      <w:bookmarkStart w:id="232" w:name="_Toc530498406"/>
      <w:bookmarkStart w:id="233" w:name="_Toc530499852"/>
      <w:bookmarkStart w:id="234" w:name="_Toc530500459"/>
      <w:bookmarkStart w:id="235" w:name="_Toc533259767"/>
      <w:bookmarkStart w:id="236" w:name="_Toc533260046"/>
      <w:bookmarkStart w:id="237" w:name="_Toc533260141"/>
      <w:bookmarkStart w:id="238" w:name="_Toc533260261"/>
      <w:bookmarkStart w:id="239" w:name="_Toc533261839"/>
      <w:bookmarkEnd w:id="228"/>
      <w:bookmarkEnd w:id="229"/>
      <w:bookmarkEnd w:id="230"/>
      <w:bookmarkEnd w:id="231"/>
      <w:bookmarkEnd w:id="232"/>
      <w:bookmarkEnd w:id="233"/>
      <w:bookmarkEnd w:id="234"/>
      <w:bookmarkEnd w:id="235"/>
      <w:bookmarkEnd w:id="236"/>
      <w:bookmarkEnd w:id="237"/>
      <w:bookmarkEnd w:id="238"/>
      <w:bookmarkEnd w:id="239"/>
    </w:p>
    <w:p w14:paraId="7F32CD1C" w14:textId="77777777" w:rsidR="005A68BA" w:rsidRPr="005A68BA" w:rsidRDefault="005A68BA" w:rsidP="005F46EB">
      <w:pPr>
        <w:pStyle w:val="ListParagraph"/>
        <w:keepNext/>
        <w:keepLines/>
        <w:numPr>
          <w:ilvl w:val="0"/>
          <w:numId w:val="13"/>
        </w:numPr>
        <w:spacing w:before="200" w:after="0" w:line="240" w:lineRule="auto"/>
        <w:outlineLvl w:val="1"/>
        <w:rPr>
          <w:rFonts w:ascii="Cambria" w:hAnsi="Cambria" w:cs="Times New Roman"/>
          <w:vanish/>
          <w:color w:val="4F81BD"/>
          <w:sz w:val="26"/>
          <w:lang w:val="en-GB"/>
        </w:rPr>
      </w:pPr>
      <w:bookmarkStart w:id="240" w:name="_Toc530494679"/>
      <w:bookmarkStart w:id="241" w:name="_Toc530495443"/>
      <w:bookmarkStart w:id="242" w:name="_Toc530495544"/>
      <w:bookmarkStart w:id="243" w:name="_Toc530496576"/>
      <w:bookmarkStart w:id="244" w:name="_Toc530498407"/>
      <w:bookmarkStart w:id="245" w:name="_Toc530499853"/>
      <w:bookmarkStart w:id="246" w:name="_Toc530500460"/>
      <w:bookmarkStart w:id="247" w:name="_Toc533259768"/>
      <w:bookmarkStart w:id="248" w:name="_Toc533260047"/>
      <w:bookmarkStart w:id="249" w:name="_Toc533260142"/>
      <w:bookmarkStart w:id="250" w:name="_Toc533260262"/>
      <w:bookmarkStart w:id="251" w:name="_Toc533261840"/>
      <w:bookmarkEnd w:id="240"/>
      <w:bookmarkEnd w:id="241"/>
      <w:bookmarkEnd w:id="242"/>
      <w:bookmarkEnd w:id="243"/>
      <w:bookmarkEnd w:id="244"/>
      <w:bookmarkEnd w:id="245"/>
      <w:bookmarkEnd w:id="246"/>
      <w:bookmarkEnd w:id="247"/>
      <w:bookmarkEnd w:id="248"/>
      <w:bookmarkEnd w:id="249"/>
      <w:bookmarkEnd w:id="250"/>
      <w:bookmarkEnd w:id="251"/>
    </w:p>
    <w:p w14:paraId="527AE2C1" w14:textId="77777777" w:rsidR="005A68BA" w:rsidRPr="005A68BA" w:rsidRDefault="005A68BA" w:rsidP="005F46EB">
      <w:pPr>
        <w:pStyle w:val="ListParagraph"/>
        <w:keepNext/>
        <w:keepLines/>
        <w:numPr>
          <w:ilvl w:val="0"/>
          <w:numId w:val="13"/>
        </w:numPr>
        <w:spacing w:before="200" w:after="0" w:line="240" w:lineRule="auto"/>
        <w:outlineLvl w:val="1"/>
        <w:rPr>
          <w:rFonts w:ascii="Cambria" w:hAnsi="Cambria" w:cs="Times New Roman"/>
          <w:vanish/>
          <w:color w:val="4F81BD"/>
          <w:sz w:val="26"/>
          <w:lang w:val="en-GB"/>
        </w:rPr>
      </w:pPr>
      <w:bookmarkStart w:id="252" w:name="_Toc530494680"/>
      <w:bookmarkStart w:id="253" w:name="_Toc530495444"/>
      <w:bookmarkStart w:id="254" w:name="_Toc530495545"/>
      <w:bookmarkStart w:id="255" w:name="_Toc530496577"/>
      <w:bookmarkStart w:id="256" w:name="_Toc530498408"/>
      <w:bookmarkStart w:id="257" w:name="_Toc530499854"/>
      <w:bookmarkStart w:id="258" w:name="_Toc530500461"/>
      <w:bookmarkStart w:id="259" w:name="_Toc533259769"/>
      <w:bookmarkStart w:id="260" w:name="_Toc533260048"/>
      <w:bookmarkStart w:id="261" w:name="_Toc533260143"/>
      <w:bookmarkStart w:id="262" w:name="_Toc533260263"/>
      <w:bookmarkStart w:id="263" w:name="_Toc533261841"/>
      <w:bookmarkEnd w:id="252"/>
      <w:bookmarkEnd w:id="253"/>
      <w:bookmarkEnd w:id="254"/>
      <w:bookmarkEnd w:id="255"/>
      <w:bookmarkEnd w:id="256"/>
      <w:bookmarkEnd w:id="257"/>
      <w:bookmarkEnd w:id="258"/>
      <w:bookmarkEnd w:id="259"/>
      <w:bookmarkEnd w:id="260"/>
      <w:bookmarkEnd w:id="261"/>
      <w:bookmarkEnd w:id="262"/>
      <w:bookmarkEnd w:id="263"/>
    </w:p>
    <w:p w14:paraId="478C72D2" w14:textId="77777777" w:rsidR="005A68BA" w:rsidRPr="005A68BA" w:rsidRDefault="005A68BA" w:rsidP="005F46EB">
      <w:pPr>
        <w:pStyle w:val="ListParagraph"/>
        <w:keepNext/>
        <w:keepLines/>
        <w:numPr>
          <w:ilvl w:val="0"/>
          <w:numId w:val="13"/>
        </w:numPr>
        <w:spacing w:before="200" w:after="0" w:line="240" w:lineRule="auto"/>
        <w:outlineLvl w:val="1"/>
        <w:rPr>
          <w:rFonts w:ascii="Cambria" w:hAnsi="Cambria" w:cs="Times New Roman"/>
          <w:vanish/>
          <w:color w:val="4F81BD"/>
          <w:sz w:val="26"/>
          <w:lang w:val="en-GB"/>
        </w:rPr>
      </w:pPr>
      <w:bookmarkStart w:id="264" w:name="_Toc530494681"/>
      <w:bookmarkStart w:id="265" w:name="_Toc530495445"/>
      <w:bookmarkStart w:id="266" w:name="_Toc530495546"/>
      <w:bookmarkStart w:id="267" w:name="_Toc530496578"/>
      <w:bookmarkStart w:id="268" w:name="_Toc530498409"/>
      <w:bookmarkStart w:id="269" w:name="_Toc530499855"/>
      <w:bookmarkStart w:id="270" w:name="_Toc530500462"/>
      <w:bookmarkStart w:id="271" w:name="_Toc533259770"/>
      <w:bookmarkStart w:id="272" w:name="_Toc533260049"/>
      <w:bookmarkStart w:id="273" w:name="_Toc533260144"/>
      <w:bookmarkStart w:id="274" w:name="_Toc533260264"/>
      <w:bookmarkStart w:id="275" w:name="_Toc533261842"/>
      <w:bookmarkEnd w:id="264"/>
      <w:bookmarkEnd w:id="265"/>
      <w:bookmarkEnd w:id="266"/>
      <w:bookmarkEnd w:id="267"/>
      <w:bookmarkEnd w:id="268"/>
      <w:bookmarkEnd w:id="269"/>
      <w:bookmarkEnd w:id="270"/>
      <w:bookmarkEnd w:id="271"/>
      <w:bookmarkEnd w:id="272"/>
      <w:bookmarkEnd w:id="273"/>
      <w:bookmarkEnd w:id="274"/>
      <w:bookmarkEnd w:id="275"/>
    </w:p>
    <w:p w14:paraId="57E3022D" w14:textId="33C73361" w:rsidR="005A68BA" w:rsidRPr="005A68BA" w:rsidRDefault="00227097" w:rsidP="005F46EB">
      <w:pPr>
        <w:pStyle w:val="Heading2"/>
        <w:numPr>
          <w:ilvl w:val="1"/>
          <w:numId w:val="13"/>
        </w:numPr>
        <w:spacing w:after="200"/>
        <w:ind w:left="788" w:hanging="431"/>
        <w:rPr>
          <w:lang w:val="en-GB"/>
        </w:rPr>
      </w:pPr>
      <w:bookmarkStart w:id="276" w:name="_Toc533261843"/>
      <w:r w:rsidRPr="005A68BA">
        <w:rPr>
          <w:lang w:val="en-GB"/>
        </w:rPr>
        <w:t xml:space="preserve">Findings regarding the Billing </w:t>
      </w:r>
      <w:r w:rsidR="00AF2F8F">
        <w:rPr>
          <w:lang w:val="en-GB"/>
        </w:rPr>
        <w:t>P</w:t>
      </w:r>
      <w:r w:rsidRPr="005A68BA">
        <w:rPr>
          <w:lang w:val="en-GB"/>
        </w:rPr>
        <w:t>rocess</w:t>
      </w:r>
      <w:bookmarkEnd w:id="276"/>
    </w:p>
    <w:p w14:paraId="637C987C" w14:textId="025C6274" w:rsidR="00632334" w:rsidRPr="005A68BA" w:rsidRDefault="00227097" w:rsidP="005F46EB">
      <w:pPr>
        <w:pStyle w:val="Heading3"/>
        <w:numPr>
          <w:ilvl w:val="2"/>
          <w:numId w:val="14"/>
        </w:numPr>
        <w:spacing w:after="120"/>
        <w:ind w:left="1225" w:hanging="505"/>
        <w:rPr>
          <w:lang w:val="en-GB"/>
        </w:rPr>
      </w:pPr>
      <w:bookmarkStart w:id="277" w:name="_Toc533261844"/>
      <w:r w:rsidRPr="005A68BA">
        <w:rPr>
          <w:lang w:val="en-GB"/>
        </w:rPr>
        <w:t>Introduction &amp; purpose</w:t>
      </w:r>
      <w:bookmarkEnd w:id="277"/>
    </w:p>
    <w:p w14:paraId="25D7F8CF" w14:textId="6DDE7AC6" w:rsidR="00632334" w:rsidRDefault="00227097" w:rsidP="005F46EB">
      <w:pPr>
        <w:pStyle w:val="Heading3"/>
        <w:numPr>
          <w:ilvl w:val="2"/>
          <w:numId w:val="14"/>
        </w:numPr>
        <w:spacing w:after="120"/>
        <w:ind w:left="1225" w:hanging="505"/>
        <w:rPr>
          <w:lang w:val="en-GB"/>
        </w:rPr>
      </w:pPr>
      <w:bookmarkStart w:id="278" w:name="_Toc533261845"/>
      <w:r w:rsidRPr="00D01D64">
        <w:rPr>
          <w:lang w:val="en-GB"/>
        </w:rPr>
        <w:t>Different existing models</w:t>
      </w:r>
      <w:bookmarkEnd w:id="278"/>
    </w:p>
    <w:p w14:paraId="20C259A2" w14:textId="77777777" w:rsidR="00C10A26" w:rsidRPr="006910A1" w:rsidRDefault="00C10A26" w:rsidP="00C10A26">
      <w:pPr>
        <w:pStyle w:val="Heading4"/>
        <w:numPr>
          <w:ilvl w:val="3"/>
          <w:numId w:val="14"/>
        </w:numPr>
        <w:spacing w:after="120"/>
      </w:pPr>
      <w:bookmarkStart w:id="279" w:name="_Toc533261846"/>
      <w:r w:rsidRPr="006910A1">
        <w:t>Subheading 1</w:t>
      </w:r>
      <w:bookmarkEnd w:id="279"/>
    </w:p>
    <w:p w14:paraId="05307409" w14:textId="77777777" w:rsidR="00C10A26" w:rsidRPr="006910A1" w:rsidRDefault="00C10A26" w:rsidP="00C10A26">
      <w:pPr>
        <w:pStyle w:val="Heading4"/>
        <w:numPr>
          <w:ilvl w:val="3"/>
          <w:numId w:val="14"/>
        </w:numPr>
        <w:spacing w:after="120"/>
      </w:pPr>
      <w:bookmarkStart w:id="280" w:name="_Toc533261847"/>
      <w:r w:rsidRPr="006910A1">
        <w:t>Subheading 1</w:t>
      </w:r>
      <w:bookmarkEnd w:id="280"/>
    </w:p>
    <w:p w14:paraId="2BE8D0D1" w14:textId="77777777" w:rsidR="00C10A26" w:rsidRPr="006910A1" w:rsidRDefault="00C10A26" w:rsidP="00C10A26">
      <w:pPr>
        <w:pStyle w:val="Heading4"/>
        <w:numPr>
          <w:ilvl w:val="3"/>
          <w:numId w:val="14"/>
        </w:numPr>
        <w:spacing w:after="120"/>
      </w:pPr>
      <w:bookmarkStart w:id="281" w:name="_Toc533261848"/>
      <w:r w:rsidRPr="006910A1">
        <w:t>Subheading 1</w:t>
      </w:r>
      <w:bookmarkEnd w:id="281"/>
    </w:p>
    <w:p w14:paraId="7507F0CF" w14:textId="74AF6699" w:rsidR="00632334" w:rsidRPr="00AF2F8F" w:rsidRDefault="00227097" w:rsidP="005F46EB">
      <w:pPr>
        <w:pStyle w:val="Heading3"/>
        <w:numPr>
          <w:ilvl w:val="2"/>
          <w:numId w:val="14"/>
        </w:numPr>
        <w:spacing w:after="120"/>
        <w:ind w:left="1225" w:hanging="505"/>
        <w:rPr>
          <w:lang w:val="en-GB"/>
        </w:rPr>
      </w:pPr>
      <w:bookmarkStart w:id="282" w:name="_Toc533261849"/>
      <w:r w:rsidRPr="00AF2F8F">
        <w:rPr>
          <w:lang w:val="en-GB"/>
        </w:rPr>
        <w:t xml:space="preserve">Conclusions on </w:t>
      </w:r>
      <w:r w:rsidR="00AF2F8F">
        <w:rPr>
          <w:lang w:val="en-GB"/>
        </w:rPr>
        <w:t>b</w:t>
      </w:r>
      <w:r w:rsidRPr="00AF2F8F">
        <w:rPr>
          <w:lang w:val="en-GB"/>
        </w:rPr>
        <w:t>illing process</w:t>
      </w:r>
      <w:bookmarkEnd w:id="282"/>
    </w:p>
    <w:p w14:paraId="04CECFC6" w14:textId="77777777" w:rsidR="00AF2F8F" w:rsidRDefault="00AF2F8F" w:rsidP="00D01D64">
      <w:pPr>
        <w:pStyle w:val="Heading3"/>
        <w:numPr>
          <w:ilvl w:val="0"/>
          <w:numId w:val="0"/>
        </w:numPr>
        <w:spacing w:before="0" w:after="200"/>
        <w:ind w:left="720"/>
      </w:pPr>
    </w:p>
    <w:p w14:paraId="471EEEE8" w14:textId="64C9F72D" w:rsidR="00632334" w:rsidRPr="00AF2F8F" w:rsidRDefault="00227097" w:rsidP="005F46EB">
      <w:pPr>
        <w:pStyle w:val="Heading2"/>
        <w:numPr>
          <w:ilvl w:val="1"/>
          <w:numId w:val="13"/>
        </w:numPr>
        <w:spacing w:after="200"/>
        <w:ind w:left="788" w:hanging="431"/>
        <w:rPr>
          <w:lang w:val="en-GB"/>
        </w:rPr>
      </w:pPr>
      <w:bookmarkStart w:id="283" w:name="_Toc533261850"/>
      <w:r w:rsidRPr="00AF2F8F">
        <w:rPr>
          <w:lang w:val="en-GB"/>
        </w:rPr>
        <w:t xml:space="preserve">Findings regarding the Change of Supplier </w:t>
      </w:r>
      <w:r w:rsidR="00AF2F8F">
        <w:rPr>
          <w:lang w:val="en-GB"/>
        </w:rPr>
        <w:t>P</w:t>
      </w:r>
      <w:r w:rsidRPr="00AF2F8F">
        <w:rPr>
          <w:lang w:val="en-GB"/>
        </w:rPr>
        <w:t>rocess</w:t>
      </w:r>
      <w:bookmarkEnd w:id="283"/>
    </w:p>
    <w:p w14:paraId="4738A3C3" w14:textId="77777777" w:rsidR="00AF2F8F" w:rsidRPr="005A68BA" w:rsidRDefault="00AF2F8F" w:rsidP="005F46EB">
      <w:pPr>
        <w:pStyle w:val="Heading3"/>
        <w:numPr>
          <w:ilvl w:val="2"/>
          <w:numId w:val="13"/>
        </w:numPr>
        <w:spacing w:after="120"/>
        <w:rPr>
          <w:lang w:val="en-GB"/>
        </w:rPr>
      </w:pPr>
      <w:bookmarkStart w:id="284" w:name="_Toc533261851"/>
      <w:r w:rsidRPr="005A68BA">
        <w:rPr>
          <w:lang w:val="en-GB"/>
        </w:rPr>
        <w:t>Introduction &amp; purpose</w:t>
      </w:r>
      <w:bookmarkEnd w:id="284"/>
    </w:p>
    <w:p w14:paraId="62EF561D" w14:textId="2C13D3B4" w:rsidR="00AF2F8F" w:rsidRDefault="00E44949" w:rsidP="005F46EB">
      <w:pPr>
        <w:pStyle w:val="Heading3"/>
        <w:numPr>
          <w:ilvl w:val="2"/>
          <w:numId w:val="13"/>
        </w:numPr>
        <w:spacing w:after="120"/>
        <w:rPr>
          <w:lang w:val="en-GB"/>
        </w:rPr>
      </w:pPr>
      <w:bookmarkStart w:id="285" w:name="_Toc533261852"/>
      <w:r>
        <w:rPr>
          <w:lang w:val="en-GB"/>
        </w:rPr>
        <w:t xml:space="preserve">Existing </w:t>
      </w:r>
      <w:r w:rsidR="00380B6A">
        <w:rPr>
          <w:lang w:val="en-GB"/>
        </w:rPr>
        <w:t xml:space="preserve">(data and role) </w:t>
      </w:r>
      <w:r>
        <w:rPr>
          <w:lang w:val="en-GB"/>
        </w:rPr>
        <w:t>models and procedures</w:t>
      </w:r>
      <w:bookmarkEnd w:id="285"/>
    </w:p>
    <w:p w14:paraId="6BA99D47" w14:textId="77777777" w:rsidR="00C10A26" w:rsidRPr="006910A1" w:rsidRDefault="00C10A26" w:rsidP="00C10A26">
      <w:pPr>
        <w:pStyle w:val="Heading4"/>
        <w:numPr>
          <w:ilvl w:val="3"/>
          <w:numId w:val="13"/>
        </w:numPr>
        <w:spacing w:after="120"/>
      </w:pPr>
      <w:bookmarkStart w:id="286" w:name="_Toc533261853"/>
      <w:r w:rsidRPr="006910A1">
        <w:t>Subheading 1</w:t>
      </w:r>
      <w:bookmarkEnd w:id="286"/>
    </w:p>
    <w:p w14:paraId="283BC47C" w14:textId="77777777" w:rsidR="00C10A26" w:rsidRPr="006910A1" w:rsidRDefault="00C10A26" w:rsidP="00C10A26">
      <w:pPr>
        <w:pStyle w:val="Heading4"/>
        <w:numPr>
          <w:ilvl w:val="3"/>
          <w:numId w:val="13"/>
        </w:numPr>
        <w:spacing w:after="120"/>
      </w:pPr>
      <w:bookmarkStart w:id="287" w:name="_Toc533261854"/>
      <w:r w:rsidRPr="006910A1">
        <w:t>Subheading 1</w:t>
      </w:r>
      <w:bookmarkEnd w:id="287"/>
    </w:p>
    <w:p w14:paraId="6025B297" w14:textId="77777777" w:rsidR="00C10A26" w:rsidRPr="006910A1" w:rsidRDefault="00C10A26" w:rsidP="00C10A26">
      <w:pPr>
        <w:pStyle w:val="Heading4"/>
        <w:numPr>
          <w:ilvl w:val="3"/>
          <w:numId w:val="13"/>
        </w:numPr>
        <w:spacing w:after="120"/>
      </w:pPr>
      <w:bookmarkStart w:id="288" w:name="_Toc533261855"/>
      <w:r w:rsidRPr="006910A1">
        <w:t>Subheading 1</w:t>
      </w:r>
      <w:bookmarkEnd w:id="288"/>
    </w:p>
    <w:p w14:paraId="55601F01" w14:textId="0BA3A69B" w:rsidR="00AF2F8F" w:rsidRDefault="00AF2F8F" w:rsidP="005F46EB">
      <w:pPr>
        <w:pStyle w:val="Heading3"/>
        <w:numPr>
          <w:ilvl w:val="2"/>
          <w:numId w:val="13"/>
        </w:numPr>
        <w:spacing w:after="120"/>
        <w:rPr>
          <w:lang w:val="en-GB"/>
        </w:rPr>
      </w:pPr>
      <w:bookmarkStart w:id="289" w:name="_Toc533261856"/>
      <w:r w:rsidRPr="00AF2F8F">
        <w:rPr>
          <w:lang w:val="en-GB"/>
        </w:rPr>
        <w:t xml:space="preserve">Conclusions on </w:t>
      </w:r>
      <w:r>
        <w:rPr>
          <w:lang w:val="en-GB"/>
        </w:rPr>
        <w:t xml:space="preserve">change of supplier </w:t>
      </w:r>
      <w:r w:rsidRPr="00AF2F8F">
        <w:rPr>
          <w:lang w:val="en-GB"/>
        </w:rPr>
        <w:t>process</w:t>
      </w:r>
      <w:bookmarkEnd w:id="289"/>
    </w:p>
    <w:p w14:paraId="203B2CA7" w14:textId="77777777" w:rsidR="00AF2F8F" w:rsidRPr="00AF2F8F" w:rsidRDefault="00AF2F8F" w:rsidP="00AF2F8F">
      <w:pPr>
        <w:rPr>
          <w:lang w:val="en-GB"/>
        </w:rPr>
      </w:pPr>
    </w:p>
    <w:p w14:paraId="1302814F" w14:textId="5071E71E" w:rsidR="00AF2F8F" w:rsidRPr="00AF2F8F" w:rsidRDefault="00AF2F8F" w:rsidP="005F46EB">
      <w:pPr>
        <w:pStyle w:val="Heading2"/>
        <w:numPr>
          <w:ilvl w:val="1"/>
          <w:numId w:val="13"/>
        </w:numPr>
        <w:spacing w:after="200"/>
        <w:rPr>
          <w:lang w:val="en-GB"/>
        </w:rPr>
      </w:pPr>
      <w:bookmarkStart w:id="290" w:name="_Toc533261857"/>
      <w:r w:rsidRPr="00AF2F8F">
        <w:rPr>
          <w:lang w:val="en-GB"/>
        </w:rPr>
        <w:lastRenderedPageBreak/>
        <w:t xml:space="preserve">Findings regarding </w:t>
      </w:r>
      <w:r>
        <w:rPr>
          <w:lang w:val="en-GB"/>
        </w:rPr>
        <w:t>Processes supporting New and Emerging Services</w:t>
      </w:r>
      <w:bookmarkEnd w:id="290"/>
    </w:p>
    <w:p w14:paraId="622763E0" w14:textId="77777777" w:rsidR="00AF2F8F" w:rsidRDefault="00AF2F8F" w:rsidP="005F46EB">
      <w:pPr>
        <w:pStyle w:val="Heading3"/>
        <w:numPr>
          <w:ilvl w:val="2"/>
          <w:numId w:val="13"/>
        </w:numPr>
        <w:spacing w:after="120"/>
        <w:rPr>
          <w:lang w:val="en-GB"/>
        </w:rPr>
      </w:pPr>
      <w:bookmarkStart w:id="291" w:name="_Toc533261858"/>
      <w:r w:rsidRPr="005A68BA">
        <w:rPr>
          <w:lang w:val="en-GB"/>
        </w:rPr>
        <w:t>Introduction &amp; purpose</w:t>
      </w:r>
      <w:bookmarkEnd w:id="291"/>
    </w:p>
    <w:p w14:paraId="489AE2EB" w14:textId="77777777" w:rsidR="00C95578" w:rsidRPr="00C95578" w:rsidRDefault="00C95578" w:rsidP="00C95578">
      <w:pPr>
        <w:suppressAutoHyphens/>
        <w:autoSpaceDN w:val="0"/>
        <w:jc w:val="both"/>
        <w:textAlignment w:val="baseline"/>
        <w:rPr>
          <w:lang w:val="en-US"/>
        </w:rPr>
      </w:pPr>
      <w:r w:rsidRPr="00C95578">
        <w:rPr>
          <w:lang w:val="en-US"/>
        </w:rPr>
        <w:t xml:space="preserve">The evolution of electricity and gas systems, enabled by innovation and digitalization, in a global move toward energy transition, is large and fast. The intensity of this transformation is especially visible at systems consumption and generation endpoints: new applications related to Smart Homes, Smart Buildings, EV charging, smart offers from suppliers, aggregators, etc. Besides, the environment is becoming more complex with new applicable obligations (e.g. GDPR), new business models (e.g. blockchains based, cross-sector applications like insurance). On the top of this, new societal and </w:t>
      </w:r>
      <w:proofErr w:type="spellStart"/>
      <w:r w:rsidRPr="00C95578">
        <w:rPr>
          <w:lang w:val="en-US"/>
        </w:rPr>
        <w:t>organisational</w:t>
      </w:r>
      <w:proofErr w:type="spellEnd"/>
      <w:r w:rsidRPr="00C95578">
        <w:rPr>
          <w:lang w:val="en-US"/>
        </w:rPr>
        <w:t xml:space="preserve"> concepts are developing: Local Energy Communities, </w:t>
      </w:r>
      <w:proofErr w:type="spellStart"/>
      <w:r w:rsidRPr="00C95578">
        <w:rPr>
          <w:lang w:val="en-US"/>
        </w:rPr>
        <w:t>MyData</w:t>
      </w:r>
      <w:proofErr w:type="spellEnd"/>
      <w:r w:rsidRPr="00C95578">
        <w:rPr>
          <w:lang w:val="en-US"/>
        </w:rPr>
        <w:t xml:space="preserve"> movement</w:t>
      </w:r>
      <w:r w:rsidRPr="00ED6FCA">
        <w:rPr>
          <w:vertAlign w:val="superscript"/>
          <w:lang w:val="en-US"/>
        </w:rPr>
        <w:footnoteReference w:id="15"/>
      </w:r>
      <w:r w:rsidRPr="00C95578">
        <w:rPr>
          <w:lang w:val="en-US"/>
        </w:rPr>
        <w:t>, etc.).</w:t>
      </w:r>
    </w:p>
    <w:p w14:paraId="79001B9F" w14:textId="77777777" w:rsidR="00C95578" w:rsidRPr="00C95578" w:rsidRDefault="00C95578" w:rsidP="00C95578">
      <w:pPr>
        <w:suppressAutoHyphens/>
        <w:autoSpaceDN w:val="0"/>
        <w:jc w:val="both"/>
        <w:textAlignment w:val="baseline"/>
        <w:rPr>
          <w:lang w:val="en-US"/>
        </w:rPr>
      </w:pPr>
      <w:r w:rsidRPr="00C95578">
        <w:rPr>
          <w:lang w:val="en-US"/>
        </w:rPr>
        <w:t>To amplify the development at an EU-wide perimeter of those new services, which rely highly on data sharing, interoperability and convergence on data formats and procedures are considered as key enablers.</w:t>
      </w:r>
    </w:p>
    <w:p w14:paraId="1430A331" w14:textId="77777777" w:rsidR="00C95578" w:rsidRPr="00C95578" w:rsidRDefault="00C95578" w:rsidP="00C95578">
      <w:pPr>
        <w:suppressAutoHyphens/>
        <w:autoSpaceDN w:val="0"/>
        <w:jc w:val="both"/>
        <w:textAlignment w:val="baseline"/>
        <w:rPr>
          <w:lang w:val="en-US"/>
        </w:rPr>
      </w:pPr>
      <w:r w:rsidRPr="00C95578">
        <w:rPr>
          <w:lang w:val="en-US"/>
        </w:rPr>
        <w:t xml:space="preserve">The target of this subsection is to address this stake by facilitating the development of new “energy data based services” across Member States and finding the right level of minimum requirements in order also to let room for innovation regarding a scope of emerging services still at an early stage of development. </w:t>
      </w:r>
    </w:p>
    <w:p w14:paraId="28F14F2A" w14:textId="77777777" w:rsidR="00C95578" w:rsidRPr="00C95578" w:rsidRDefault="00C95578" w:rsidP="00C95578">
      <w:pPr>
        <w:jc w:val="both"/>
        <w:rPr>
          <w:lang w:val="en-GB"/>
        </w:rPr>
      </w:pPr>
      <w:r w:rsidRPr="00C95578">
        <w:rPr>
          <w:lang w:val="en-GB"/>
        </w:rPr>
        <w:t>An enquiry was made whether use cases should be described and cover all emerging services for the energy sector, including PVs, storage, flexibility, etc.  By definition emerging services are not already known and defined, hence the subgroup concentrated on common parts of the procedures that would be needed to enable customers to share their data.</w:t>
      </w:r>
    </w:p>
    <w:p w14:paraId="4C76D938" w14:textId="77777777" w:rsidR="00C95578" w:rsidRPr="00C95578" w:rsidRDefault="00C95578" w:rsidP="00C95578">
      <w:pPr>
        <w:suppressAutoHyphens/>
        <w:autoSpaceDN w:val="0"/>
        <w:jc w:val="both"/>
        <w:textAlignment w:val="baseline"/>
        <w:rPr>
          <w:lang w:val="en-GB"/>
        </w:rPr>
      </w:pPr>
      <w:r w:rsidRPr="00C95578">
        <w:rPr>
          <w:lang w:val="en-GB"/>
        </w:rPr>
        <w:t xml:space="preserve">Taking into account the EG1 “My Energy Data” report (2016), we started to focus on the two functional </w:t>
      </w:r>
      <w:r w:rsidRPr="00C95578">
        <w:rPr>
          <w:lang w:val="en-US"/>
        </w:rPr>
        <w:t xml:space="preserve">use cases that </w:t>
      </w:r>
      <w:r w:rsidRPr="00C95578">
        <w:rPr>
          <w:lang w:val="en-GB"/>
        </w:rPr>
        <w:t xml:space="preserve">have been described from a high level perspective as follows: </w:t>
      </w:r>
    </w:p>
    <w:p w14:paraId="067826D1" w14:textId="77777777" w:rsidR="00C95578" w:rsidRPr="00C95578" w:rsidRDefault="00C95578" w:rsidP="00C95578">
      <w:pPr>
        <w:suppressAutoHyphens/>
        <w:autoSpaceDN w:val="0"/>
        <w:jc w:val="center"/>
        <w:textAlignment w:val="baseline"/>
        <w:rPr>
          <w:lang w:val="en-US"/>
        </w:rPr>
      </w:pPr>
      <w:r w:rsidRPr="00ED6FCA">
        <w:rPr>
          <w:noProof/>
          <w:lang w:val="en-GB" w:eastAsia="en-GB"/>
        </w:rPr>
        <w:lastRenderedPageBreak/>
        <w:drawing>
          <wp:inline distT="0" distB="0" distL="0" distR="0" wp14:anchorId="1A36B502" wp14:editId="3FCAC04E">
            <wp:extent cx="4244454" cy="4760039"/>
            <wp:effectExtent l="0" t="0" r="3810" b="2540"/>
            <wp:docPr id="1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45290" cy="4760977"/>
                    </a:xfrm>
                    <a:prstGeom prst="rect">
                      <a:avLst/>
                    </a:prstGeom>
                  </pic:spPr>
                </pic:pic>
              </a:graphicData>
            </a:graphic>
          </wp:inline>
        </w:drawing>
      </w:r>
    </w:p>
    <w:p w14:paraId="4A75E1DD" w14:textId="77777777" w:rsidR="00C95578" w:rsidRPr="00C95578" w:rsidRDefault="00C95578" w:rsidP="00C95578">
      <w:pPr>
        <w:suppressAutoHyphens/>
        <w:autoSpaceDN w:val="0"/>
        <w:jc w:val="both"/>
        <w:textAlignment w:val="baseline"/>
        <w:rPr>
          <w:lang w:val="en-US"/>
        </w:rPr>
      </w:pPr>
      <w:r w:rsidRPr="00C95578">
        <w:rPr>
          <w:lang w:val="en-US"/>
        </w:rPr>
        <w:t>While considering the new “energy data based services”, the importance of the GDPR and more precisely the consent of the end-consumer regarding the transfer of data to other parties should be integrated, in particularly the consent management.</w:t>
      </w:r>
    </w:p>
    <w:p w14:paraId="2766AF22" w14:textId="77777777" w:rsidR="00C95578" w:rsidRPr="00C95578" w:rsidRDefault="00C95578" w:rsidP="00C95578">
      <w:pPr>
        <w:suppressAutoHyphens/>
        <w:autoSpaceDN w:val="0"/>
        <w:jc w:val="both"/>
        <w:textAlignment w:val="baseline"/>
        <w:rPr>
          <w:lang w:val="en-US"/>
        </w:rPr>
      </w:pPr>
      <w:r w:rsidRPr="00C95578">
        <w:rPr>
          <w:lang w:val="en-US"/>
        </w:rPr>
        <w:t>In terms of methodology, the present study focused on procedures, data formats and roles that are used in a selection of real use cases. After comparing them and having identified the commonalities and the differences, generic business use cases could be specified and their applicability checked through a survey among all MS. From those results were drawn conclusions and recommendations.</w:t>
      </w:r>
    </w:p>
    <w:p w14:paraId="295968A5" w14:textId="77777777" w:rsidR="00C95578" w:rsidRPr="00C95578" w:rsidRDefault="00C95578" w:rsidP="00C95578">
      <w:pPr>
        <w:rPr>
          <w:lang w:val="en-US"/>
        </w:rPr>
      </w:pPr>
      <w:r w:rsidRPr="00C95578">
        <w:rPr>
          <w:lang w:val="en-US"/>
        </w:rPr>
        <w:t>Restriction: the scope of the analysis and the recommendations does not cover the direct real-time data access from the meter, as this issue was already explored by EG1 [Standards and interoperability, 2015].</w:t>
      </w:r>
    </w:p>
    <w:p w14:paraId="07D3ED1E" w14:textId="77777777" w:rsidR="00C95578" w:rsidRPr="00C95578" w:rsidRDefault="00C95578" w:rsidP="00C95578">
      <w:pPr>
        <w:rPr>
          <w:lang w:val="en-GB"/>
        </w:rPr>
      </w:pPr>
    </w:p>
    <w:p w14:paraId="1C2F80B6" w14:textId="3CF74417" w:rsidR="00AF2F8F" w:rsidRDefault="00C10A26" w:rsidP="005F46EB">
      <w:pPr>
        <w:pStyle w:val="Heading3"/>
        <w:numPr>
          <w:ilvl w:val="2"/>
          <w:numId w:val="13"/>
        </w:numPr>
        <w:spacing w:after="120"/>
        <w:rPr>
          <w:lang w:val="en-GB"/>
        </w:rPr>
      </w:pPr>
      <w:bookmarkStart w:id="292" w:name="_Toc533261859"/>
      <w:r>
        <w:rPr>
          <w:lang w:val="en-GB"/>
        </w:rPr>
        <w:t>Emerging and potential</w:t>
      </w:r>
      <w:r w:rsidR="00AF2F8F" w:rsidRPr="00D01D64">
        <w:rPr>
          <w:lang w:val="en-GB"/>
        </w:rPr>
        <w:t xml:space="preserve"> </w:t>
      </w:r>
      <w:r>
        <w:rPr>
          <w:lang w:val="en-GB"/>
        </w:rPr>
        <w:t xml:space="preserve">(data and role) </w:t>
      </w:r>
      <w:r w:rsidR="00AF2F8F" w:rsidRPr="00D01D64">
        <w:rPr>
          <w:lang w:val="en-GB"/>
        </w:rPr>
        <w:t>models</w:t>
      </w:r>
      <w:bookmarkEnd w:id="292"/>
    </w:p>
    <w:p w14:paraId="7E24981E" w14:textId="19196319" w:rsidR="00C10A26" w:rsidRDefault="00C10A26" w:rsidP="00C10A26">
      <w:pPr>
        <w:pStyle w:val="Heading4"/>
        <w:numPr>
          <w:ilvl w:val="3"/>
          <w:numId w:val="13"/>
        </w:numPr>
        <w:spacing w:after="120"/>
      </w:pPr>
      <w:bookmarkStart w:id="293" w:name="_Toc533261860"/>
      <w:r>
        <w:t>Illustrative examples of Emerging services</w:t>
      </w:r>
      <w:bookmarkEnd w:id="293"/>
    </w:p>
    <w:p w14:paraId="5D01708C" w14:textId="77777777" w:rsidR="00C95578" w:rsidRPr="00A4085E" w:rsidRDefault="00C95578" w:rsidP="00C95578">
      <w:pPr>
        <w:rPr>
          <w:lang w:val="en-GB"/>
        </w:rPr>
      </w:pPr>
      <w:r w:rsidRPr="004B5B2D">
        <w:rPr>
          <w:lang w:val="en-GB"/>
        </w:rPr>
        <w:t xml:space="preserve">This paragraph </w:t>
      </w:r>
      <w:r>
        <w:rPr>
          <w:lang w:val="en-GB"/>
        </w:rPr>
        <w:t xml:space="preserve">describes </w:t>
      </w:r>
      <w:r w:rsidRPr="004B5B2D">
        <w:rPr>
          <w:lang w:val="en-GB"/>
        </w:rPr>
        <w:t>what these new services can be and the diversity of third parties interested in energy data based services.</w:t>
      </w:r>
    </w:p>
    <w:p w14:paraId="1B47999B" w14:textId="77777777" w:rsidR="00C95578" w:rsidRPr="00A4085E" w:rsidRDefault="00C95578" w:rsidP="00C95578">
      <w:pPr>
        <w:jc w:val="both"/>
        <w:rPr>
          <w:lang w:val="en-US"/>
        </w:rPr>
      </w:pPr>
      <w:r w:rsidRPr="00A4085E">
        <w:rPr>
          <w:lang w:val="en-US"/>
        </w:rPr>
        <w:lastRenderedPageBreak/>
        <w:t xml:space="preserve">In order for end consumers to have access to a full range of services adapted to their diverse backgrounds and expectations, it is important for </w:t>
      </w:r>
      <w:r>
        <w:rPr>
          <w:lang w:val="en-US"/>
        </w:rPr>
        <w:t xml:space="preserve">all </w:t>
      </w:r>
      <w:r w:rsidRPr="00A4085E">
        <w:rPr>
          <w:lang w:val="en-US"/>
        </w:rPr>
        <w:t>part</w:t>
      </w:r>
      <w:r>
        <w:rPr>
          <w:lang w:val="en-US"/>
        </w:rPr>
        <w:t>ies</w:t>
      </w:r>
      <w:r w:rsidRPr="00A4085E">
        <w:rPr>
          <w:lang w:val="en-US"/>
        </w:rPr>
        <w:t xml:space="preserve"> to have access to </w:t>
      </w:r>
      <w:r>
        <w:rPr>
          <w:lang w:val="en-US"/>
        </w:rPr>
        <w:t>energy data, with</w:t>
      </w:r>
      <w:r w:rsidRPr="00A4085E">
        <w:rPr>
          <w:lang w:val="en-US"/>
        </w:rPr>
        <w:t xml:space="preserve"> </w:t>
      </w:r>
      <w:r>
        <w:rPr>
          <w:lang w:val="en-US"/>
        </w:rPr>
        <w:t xml:space="preserve">informed </w:t>
      </w:r>
      <w:r w:rsidRPr="00A4085E">
        <w:rPr>
          <w:lang w:val="en-US"/>
        </w:rPr>
        <w:t>consent</w:t>
      </w:r>
      <w:r>
        <w:rPr>
          <w:lang w:val="en-US"/>
        </w:rPr>
        <w:t xml:space="preserve"> from the owner of this data (the consumer)</w:t>
      </w:r>
      <w:r w:rsidRPr="00A4085E">
        <w:rPr>
          <w:lang w:val="en-US"/>
        </w:rPr>
        <w:t>.</w:t>
      </w:r>
    </w:p>
    <w:p w14:paraId="24DC949F" w14:textId="77777777" w:rsidR="00C95578" w:rsidRPr="00006394" w:rsidRDefault="00C95578" w:rsidP="00C95578">
      <w:pPr>
        <w:jc w:val="both"/>
        <w:rPr>
          <w:rFonts w:asciiTheme="minorHAnsi" w:hAnsiTheme="minorHAnsi" w:cstheme="minorHAnsi"/>
          <w:szCs w:val="22"/>
          <w:lang w:val="en-US"/>
        </w:rPr>
      </w:pPr>
      <w:r w:rsidRPr="00A4085E">
        <w:rPr>
          <w:lang w:val="en-US"/>
        </w:rPr>
        <w:t>Various third-part</w:t>
      </w:r>
      <w:r>
        <w:rPr>
          <w:lang w:val="en-US"/>
        </w:rPr>
        <w:t xml:space="preserve">ies </w:t>
      </w:r>
      <w:r w:rsidRPr="00A4085E">
        <w:rPr>
          <w:lang w:val="en-US"/>
        </w:rPr>
        <w:t xml:space="preserve">are already expressing great interest in itemized consumption data, and are seeking to position themselves in this market by developing or improving services targeting different categories of end consumers. These groups can include (which is a non-exhaustive but just an </w:t>
      </w:r>
      <w:r w:rsidRPr="00006394">
        <w:rPr>
          <w:rFonts w:asciiTheme="minorHAnsi" w:hAnsiTheme="minorHAnsi" w:cstheme="minorHAnsi"/>
          <w:szCs w:val="22"/>
          <w:lang w:val="en-US"/>
        </w:rPr>
        <w:t>illustration list):</w:t>
      </w:r>
    </w:p>
    <w:p w14:paraId="3D3E4BEA" w14:textId="77777777" w:rsidR="00C95578" w:rsidRPr="00006394" w:rsidRDefault="00C95578" w:rsidP="00C95578">
      <w:pPr>
        <w:pStyle w:val="Listecouleur-Accent11"/>
        <w:numPr>
          <w:ilvl w:val="0"/>
          <w:numId w:val="29"/>
        </w:numPr>
        <w:spacing w:before="60"/>
        <w:ind w:left="714" w:hanging="357"/>
        <w:rPr>
          <w:rFonts w:asciiTheme="minorHAnsi" w:hAnsiTheme="minorHAnsi" w:cstheme="minorHAnsi"/>
          <w:sz w:val="22"/>
          <w:szCs w:val="22"/>
          <w:lang w:val="en-US"/>
        </w:rPr>
      </w:pPr>
      <w:r w:rsidRPr="00006394">
        <w:rPr>
          <w:rFonts w:asciiTheme="minorHAnsi" w:hAnsiTheme="minorHAnsi" w:cstheme="minorHAnsi"/>
          <w:sz w:val="22"/>
          <w:szCs w:val="22"/>
          <w:lang w:val="en-US"/>
        </w:rPr>
        <w:t>Traditional stakeholders and energy-management experts, for example, who believe itemized consumption data will be useful for improving existing tools and support measures.</w:t>
      </w:r>
    </w:p>
    <w:p w14:paraId="19F313AC" w14:textId="77777777" w:rsidR="00C95578" w:rsidRPr="00006394" w:rsidRDefault="00C95578" w:rsidP="00C95578">
      <w:pPr>
        <w:pStyle w:val="Listecouleur-Accent11"/>
        <w:numPr>
          <w:ilvl w:val="0"/>
          <w:numId w:val="29"/>
        </w:numPr>
        <w:spacing w:before="60"/>
        <w:ind w:left="714" w:hanging="357"/>
        <w:rPr>
          <w:rFonts w:asciiTheme="minorHAnsi" w:hAnsiTheme="minorHAnsi" w:cstheme="minorHAnsi"/>
          <w:sz w:val="22"/>
          <w:szCs w:val="22"/>
          <w:lang w:val="en-US"/>
        </w:rPr>
      </w:pPr>
      <w:r w:rsidRPr="00006394">
        <w:rPr>
          <w:rFonts w:asciiTheme="minorHAnsi" w:hAnsiTheme="minorHAnsi" w:cstheme="minorHAnsi"/>
          <w:sz w:val="22"/>
          <w:szCs w:val="22"/>
          <w:lang w:val="en-US"/>
        </w:rPr>
        <w:t>Stakeholders in the digital realm, who seek to position themselves in this new market and incorporate consumption tracking in other services : many app developers and start-ups are already interested in the energy consumption data of their current or future users</w:t>
      </w:r>
    </w:p>
    <w:p w14:paraId="1D4661C9" w14:textId="77777777" w:rsidR="00C95578" w:rsidRPr="00006394" w:rsidRDefault="00C95578" w:rsidP="00C95578">
      <w:pPr>
        <w:pStyle w:val="Listecouleur-Accent11"/>
        <w:numPr>
          <w:ilvl w:val="0"/>
          <w:numId w:val="29"/>
        </w:numPr>
        <w:spacing w:before="60"/>
        <w:ind w:left="714" w:hanging="357"/>
        <w:rPr>
          <w:rFonts w:asciiTheme="minorHAnsi" w:hAnsiTheme="minorHAnsi" w:cstheme="minorHAnsi"/>
          <w:sz w:val="22"/>
          <w:szCs w:val="22"/>
          <w:lang w:val="en-US"/>
        </w:rPr>
      </w:pPr>
      <w:r w:rsidRPr="00006394">
        <w:rPr>
          <w:rFonts w:asciiTheme="minorHAnsi" w:hAnsiTheme="minorHAnsi" w:cstheme="minorHAnsi"/>
          <w:sz w:val="22"/>
          <w:szCs w:val="22"/>
          <w:lang w:val="en-US"/>
        </w:rPr>
        <w:t>In the context of smart cities, new platforms may be developed to offer services to citizens, including some energy consumption monitoring tools</w:t>
      </w:r>
    </w:p>
    <w:p w14:paraId="30222D9E" w14:textId="77777777" w:rsidR="00C95578" w:rsidRPr="00006394" w:rsidRDefault="00C95578" w:rsidP="00C95578">
      <w:pPr>
        <w:pStyle w:val="Listecouleur-Accent11"/>
        <w:numPr>
          <w:ilvl w:val="0"/>
          <w:numId w:val="0"/>
        </w:numPr>
        <w:spacing w:before="60"/>
        <w:ind w:left="714"/>
        <w:rPr>
          <w:rFonts w:asciiTheme="minorHAnsi" w:hAnsiTheme="minorHAnsi" w:cstheme="minorHAnsi"/>
          <w:sz w:val="22"/>
          <w:szCs w:val="22"/>
          <w:lang w:val="en-US"/>
        </w:rPr>
      </w:pPr>
    </w:p>
    <w:p w14:paraId="2A3CD8D2" w14:textId="77777777" w:rsidR="00C95578" w:rsidRDefault="00C95578" w:rsidP="00C95578">
      <w:pPr>
        <w:jc w:val="both"/>
        <w:rPr>
          <w:lang w:val="en-US"/>
        </w:rPr>
      </w:pPr>
      <w:r w:rsidRPr="00006394">
        <w:rPr>
          <w:rFonts w:asciiTheme="minorHAnsi" w:hAnsiTheme="minorHAnsi" w:cstheme="minorHAnsi"/>
          <w:szCs w:val="22"/>
          <w:lang w:val="en-US"/>
        </w:rPr>
        <w:t>In addition, numerous stakeholders have a key role to play in adding value to energy consumption data by</w:t>
      </w:r>
      <w:r w:rsidRPr="00A4085E">
        <w:rPr>
          <w:lang w:val="en-US"/>
        </w:rPr>
        <w:t xml:space="preserve"> processing them in specific manner and, in particular, intersecting them with other data. There are in fact many ways to use these data, and enriching this type of data should make it possible to develop varied and reliable services to meet the divergent expectations of the various categories of end consumers</w:t>
      </w:r>
      <w:r>
        <w:rPr>
          <w:lang w:val="en-US"/>
        </w:rPr>
        <w:t>.</w:t>
      </w:r>
    </w:p>
    <w:p w14:paraId="34D4A66D" w14:textId="77777777" w:rsidR="00C95578" w:rsidRPr="00C95578" w:rsidRDefault="00C95578" w:rsidP="00C95578">
      <w:pPr>
        <w:rPr>
          <w:lang w:val="en-US"/>
        </w:rPr>
      </w:pPr>
    </w:p>
    <w:p w14:paraId="2EB8F55A" w14:textId="2966C13E" w:rsidR="00C10A26" w:rsidRDefault="00C10A26" w:rsidP="00C10A26">
      <w:pPr>
        <w:pStyle w:val="Heading4"/>
        <w:numPr>
          <w:ilvl w:val="3"/>
          <w:numId w:val="13"/>
        </w:numPr>
        <w:spacing w:after="120"/>
      </w:pPr>
      <w:bookmarkStart w:id="294" w:name="_Toc533261861"/>
      <w:r>
        <w:t>Existing models</w:t>
      </w:r>
      <w:bookmarkEnd w:id="294"/>
    </w:p>
    <w:p w14:paraId="09C60DD2" w14:textId="77777777" w:rsidR="00C95578" w:rsidRPr="00C95578" w:rsidRDefault="00C95578" w:rsidP="00C95578">
      <w:pPr>
        <w:suppressAutoHyphens/>
        <w:autoSpaceDN w:val="0"/>
        <w:jc w:val="both"/>
        <w:textAlignment w:val="baseline"/>
        <w:rPr>
          <w:lang w:val="en-US"/>
        </w:rPr>
      </w:pPr>
      <w:r w:rsidRPr="00C95578">
        <w:rPr>
          <w:lang w:val="en-US"/>
        </w:rPr>
        <w:t xml:space="preserve">To illustrate the diversity of existing models among European Countries, the workgroup established first a simplified view based on the analysis on EG1 My Energy Data (MED) and </w:t>
      </w:r>
      <w:proofErr w:type="spellStart"/>
      <w:r w:rsidRPr="00C95578">
        <w:rPr>
          <w:lang w:val="en-US"/>
        </w:rPr>
        <w:t>Tractebel</w:t>
      </w:r>
      <w:proofErr w:type="spellEnd"/>
      <w:r w:rsidRPr="00C95578">
        <w:rPr>
          <w:lang w:val="en-US"/>
        </w:rPr>
        <w:t xml:space="preserve"> reports</w:t>
      </w:r>
      <w:r>
        <w:rPr>
          <w:rStyle w:val="FootnoteReference"/>
          <w:lang w:val="en-US"/>
        </w:rPr>
        <w:footnoteReference w:id="16"/>
      </w:r>
      <w:r w:rsidRPr="00C95578">
        <w:rPr>
          <w:lang w:val="en-US"/>
        </w:rPr>
        <w:t xml:space="preserve">, completed by inputs brought by EG1 members e.g. </w:t>
      </w:r>
      <w:proofErr w:type="spellStart"/>
      <w:r w:rsidRPr="00C95578">
        <w:rPr>
          <w:lang w:val="en-US"/>
        </w:rPr>
        <w:t>Alliander</w:t>
      </w:r>
      <w:proofErr w:type="spellEnd"/>
      <w:r w:rsidRPr="00C95578">
        <w:rPr>
          <w:lang w:val="en-US"/>
        </w:rPr>
        <w:t xml:space="preserve"> (NL), EDA (AT), </w:t>
      </w:r>
      <w:proofErr w:type="spellStart"/>
      <w:r w:rsidRPr="00C95578">
        <w:rPr>
          <w:lang w:val="en-US"/>
        </w:rPr>
        <w:t>Enedis</w:t>
      </w:r>
      <w:proofErr w:type="spellEnd"/>
      <w:r w:rsidRPr="00C95578">
        <w:rPr>
          <w:lang w:val="en-US"/>
        </w:rPr>
        <w:t xml:space="preserve"> (FR), GRDF (FR).</w:t>
      </w:r>
    </w:p>
    <w:p w14:paraId="0E0CED29" w14:textId="77777777" w:rsidR="00C95578" w:rsidRPr="00C95578" w:rsidRDefault="00C95578" w:rsidP="00C95578">
      <w:pPr>
        <w:suppressAutoHyphens/>
        <w:autoSpaceDN w:val="0"/>
        <w:jc w:val="both"/>
        <w:textAlignment w:val="baseline"/>
        <w:rPr>
          <w:lang w:val="en-US"/>
        </w:rPr>
      </w:pPr>
      <w:r w:rsidRPr="00C95578">
        <w:rPr>
          <w:lang w:val="en-US"/>
        </w:rPr>
        <w:t>The variety of existing “national” or “regional” electrical and gas standards, as well procedures as data models, were used to list globally what could be found as common and different from one to another. Accordingly with the interoperability approach, the work was concentrated on Business Use Cases (procedures) and on semantic and syntactical interoperability (information models and data syntaxes).</w:t>
      </w:r>
    </w:p>
    <w:p w14:paraId="20F2F665" w14:textId="77777777" w:rsidR="00C95578" w:rsidRPr="00C95578" w:rsidRDefault="00C95578" w:rsidP="00C95578">
      <w:pPr>
        <w:suppressAutoHyphens/>
        <w:autoSpaceDN w:val="0"/>
        <w:jc w:val="both"/>
        <w:textAlignment w:val="baseline"/>
        <w:rPr>
          <w:lang w:val="en-US"/>
        </w:rPr>
      </w:pPr>
      <w:r w:rsidRPr="00C95578">
        <w:rPr>
          <w:lang w:val="en-US"/>
        </w:rPr>
        <w:t>Concerning procedures for emerging services, all studied implementations showed differences at a system level, whether centralized or decentralized, but all could fit in a generic business use case description with only one option to set up, depending on whether the Consent Registry Responsible or the Metered Data Responsible executes the data requests.</w:t>
      </w:r>
    </w:p>
    <w:p w14:paraId="23E33285" w14:textId="77777777" w:rsidR="00C95578" w:rsidRPr="00C95578" w:rsidRDefault="00C95578" w:rsidP="00C95578">
      <w:pPr>
        <w:suppressAutoHyphens/>
        <w:autoSpaceDN w:val="0"/>
        <w:jc w:val="both"/>
        <w:textAlignment w:val="baseline"/>
        <w:rPr>
          <w:lang w:val="en-US"/>
        </w:rPr>
      </w:pPr>
      <w:r w:rsidRPr="00C95578">
        <w:rPr>
          <w:lang w:val="en-US"/>
        </w:rPr>
        <w:t xml:space="preserve">Concerning data models, data format and semantic comparison showed the coexistence of several data formats: </w:t>
      </w:r>
      <w:proofErr w:type="spellStart"/>
      <w:r w:rsidRPr="00C95578">
        <w:rPr>
          <w:lang w:val="en-US"/>
        </w:rPr>
        <w:t>ebIX</w:t>
      </w:r>
      <w:proofErr w:type="spellEnd"/>
      <w:r w:rsidRPr="00C95578">
        <w:rPr>
          <w:lang w:val="en-US"/>
        </w:rPr>
        <w:t>, EDA, EDIFACT, IEC Common Information Model (CIM), DLMS/COSEM</w:t>
      </w:r>
      <w:r>
        <w:rPr>
          <w:rStyle w:val="FootnoteReference"/>
          <w:lang w:val="en-US"/>
        </w:rPr>
        <w:footnoteReference w:id="17"/>
      </w:r>
      <w:r w:rsidRPr="00C95578">
        <w:rPr>
          <w:lang w:val="en-US"/>
        </w:rPr>
        <w:t>. The workgroup included also the recently defined SAREF4energy ontology.</w:t>
      </w:r>
    </w:p>
    <w:p w14:paraId="09C4280B" w14:textId="77777777" w:rsidR="00C95578" w:rsidRPr="00C95578" w:rsidRDefault="00C95578" w:rsidP="00C95578">
      <w:pPr>
        <w:suppressAutoHyphens/>
        <w:autoSpaceDN w:val="0"/>
        <w:jc w:val="both"/>
        <w:textAlignment w:val="baseline"/>
        <w:rPr>
          <w:lang w:val="en-US"/>
        </w:rPr>
      </w:pPr>
      <w:r w:rsidRPr="00C95578">
        <w:rPr>
          <w:lang w:val="en-US"/>
        </w:rPr>
        <w:lastRenderedPageBreak/>
        <w:t>These specifications cover electricity and gas metering data, or can be easily adapted to cover both.</w:t>
      </w:r>
    </w:p>
    <w:p w14:paraId="710C8E90" w14:textId="77777777" w:rsidR="00C95578" w:rsidRPr="00C95578" w:rsidRDefault="00C95578" w:rsidP="00C95578">
      <w:pPr>
        <w:rPr>
          <w:lang w:val="en-US"/>
        </w:rPr>
      </w:pPr>
    </w:p>
    <w:p w14:paraId="63BD00FB" w14:textId="56B32BCC" w:rsidR="00C10A26" w:rsidRDefault="00C10A26" w:rsidP="00C10A26">
      <w:pPr>
        <w:pStyle w:val="Heading4"/>
        <w:numPr>
          <w:ilvl w:val="3"/>
          <w:numId w:val="13"/>
        </w:numPr>
        <w:spacing w:after="120"/>
      </w:pPr>
      <w:bookmarkStart w:id="295" w:name="_Toc533261862"/>
      <w:r>
        <w:t>Roles and responsibilities</w:t>
      </w:r>
      <w:bookmarkEnd w:id="295"/>
    </w:p>
    <w:p w14:paraId="4F4E8BAB" w14:textId="77777777" w:rsidR="00C95578" w:rsidRPr="00847D55" w:rsidRDefault="00C95578" w:rsidP="00C95578">
      <w:pPr>
        <w:suppressAutoHyphens/>
        <w:autoSpaceDN w:val="0"/>
        <w:jc w:val="both"/>
        <w:textAlignment w:val="baseline"/>
        <w:rPr>
          <w:lang w:val="en-US"/>
        </w:rPr>
      </w:pPr>
      <w:r w:rsidRPr="00847D55">
        <w:rPr>
          <w:lang w:val="en-US"/>
        </w:rPr>
        <w:t xml:space="preserve">This chapter explains the roles that are needed to describe the use cases: beyond the already existing pre-defined roles that are involved in </w:t>
      </w:r>
      <w:r>
        <w:rPr>
          <w:lang w:val="en-US"/>
        </w:rPr>
        <w:t xml:space="preserve">already described </w:t>
      </w:r>
      <w:r w:rsidRPr="00847D55">
        <w:rPr>
          <w:lang w:val="en-US"/>
        </w:rPr>
        <w:t>use cases</w:t>
      </w:r>
      <w:r w:rsidRPr="00847D55">
        <w:rPr>
          <w:vertAlign w:val="superscript"/>
          <w:lang w:val="en-US"/>
        </w:rPr>
        <w:footnoteReference w:id="18"/>
      </w:r>
      <w:r w:rsidRPr="00847D55">
        <w:rPr>
          <w:lang w:val="en-US"/>
        </w:rPr>
        <w:t xml:space="preserve">, </w:t>
      </w:r>
      <w:r w:rsidRPr="00847D55">
        <w:rPr>
          <w:b/>
          <w:lang w:val="en-US"/>
        </w:rPr>
        <w:t>new roles</w:t>
      </w:r>
      <w:r w:rsidRPr="00847D55">
        <w:rPr>
          <w:lang w:val="en-US"/>
        </w:rPr>
        <w:t xml:space="preserve"> </w:t>
      </w:r>
      <w:r>
        <w:rPr>
          <w:lang w:val="en-US"/>
        </w:rPr>
        <w:t xml:space="preserve">had </w:t>
      </w:r>
      <w:r w:rsidRPr="00847D55">
        <w:rPr>
          <w:lang w:val="en-US"/>
        </w:rPr>
        <w:t xml:space="preserve">to be considered </w:t>
      </w:r>
      <w:r>
        <w:rPr>
          <w:lang w:val="en-US"/>
        </w:rPr>
        <w:t xml:space="preserve">to </w:t>
      </w:r>
      <w:r w:rsidRPr="00847D55">
        <w:rPr>
          <w:lang w:val="en-US"/>
        </w:rPr>
        <w:t>describ</w:t>
      </w:r>
      <w:r>
        <w:rPr>
          <w:lang w:val="en-US"/>
        </w:rPr>
        <w:t>e</w:t>
      </w:r>
      <w:r w:rsidRPr="00847D55">
        <w:rPr>
          <w:lang w:val="en-US"/>
        </w:rPr>
        <w:t xml:space="preserve"> consent collection and management, consistently with GDPR.</w:t>
      </w:r>
    </w:p>
    <w:p w14:paraId="1350F6F1" w14:textId="77777777" w:rsidR="00C95578" w:rsidRPr="00847D55" w:rsidRDefault="00C95578" w:rsidP="00C95578">
      <w:pPr>
        <w:suppressAutoHyphens/>
        <w:autoSpaceDN w:val="0"/>
        <w:jc w:val="both"/>
        <w:textAlignment w:val="baseline"/>
        <w:rPr>
          <w:lang w:val="en-GB"/>
        </w:rPr>
      </w:pPr>
      <w:r w:rsidRPr="00847D55">
        <w:rPr>
          <w:lang w:val="en-GB"/>
        </w:rPr>
        <w:t>The definition</w:t>
      </w:r>
      <w:r>
        <w:rPr>
          <w:lang w:val="en-GB"/>
        </w:rPr>
        <w:t>s</w:t>
      </w:r>
      <w:r w:rsidRPr="00847D55">
        <w:rPr>
          <w:lang w:val="en-GB"/>
        </w:rPr>
        <w:t xml:space="preserve"> of </w:t>
      </w:r>
      <w:r>
        <w:rPr>
          <w:lang w:val="en-GB"/>
        </w:rPr>
        <w:t xml:space="preserve">the “front” roles like customer, </w:t>
      </w:r>
      <w:r w:rsidRPr="00847D55">
        <w:rPr>
          <w:lang w:val="en-GB"/>
        </w:rPr>
        <w:t>1</w:t>
      </w:r>
      <w:r w:rsidRPr="00847D55">
        <w:rPr>
          <w:vertAlign w:val="superscript"/>
          <w:lang w:val="en-GB"/>
        </w:rPr>
        <w:t>st</w:t>
      </w:r>
      <w:r w:rsidRPr="00847D55">
        <w:rPr>
          <w:lang w:val="en-GB"/>
        </w:rPr>
        <w:t>, 2</w:t>
      </w:r>
      <w:r w:rsidRPr="00847D55">
        <w:rPr>
          <w:vertAlign w:val="superscript"/>
          <w:lang w:val="en-GB"/>
        </w:rPr>
        <w:t>nd</w:t>
      </w:r>
      <w:r w:rsidRPr="00847D55">
        <w:rPr>
          <w:lang w:val="en-GB"/>
        </w:rPr>
        <w:t xml:space="preserve"> and 3</w:t>
      </w:r>
      <w:r w:rsidRPr="00847D55">
        <w:rPr>
          <w:vertAlign w:val="superscript"/>
          <w:lang w:val="en-GB"/>
        </w:rPr>
        <w:t>rd</w:t>
      </w:r>
      <w:r w:rsidRPr="00847D55">
        <w:rPr>
          <w:lang w:val="en-GB"/>
        </w:rPr>
        <w:t xml:space="preserve"> Party ha</w:t>
      </w:r>
      <w:r>
        <w:rPr>
          <w:lang w:val="en-GB"/>
        </w:rPr>
        <w:t>ve</w:t>
      </w:r>
      <w:r w:rsidRPr="00847D55">
        <w:rPr>
          <w:lang w:val="en-GB"/>
        </w:rPr>
        <w:t xml:space="preserve"> been </w:t>
      </w:r>
      <w:r>
        <w:rPr>
          <w:lang w:val="en-GB"/>
        </w:rPr>
        <w:t xml:space="preserve">first </w:t>
      </w:r>
      <w:r w:rsidRPr="00847D55">
        <w:rPr>
          <w:lang w:val="en-GB"/>
        </w:rPr>
        <w:t>written down by the working group</w:t>
      </w:r>
      <w:r>
        <w:rPr>
          <w:lang w:val="en-GB"/>
        </w:rPr>
        <w:t>; their relationships</w:t>
      </w:r>
      <w:r w:rsidRPr="00847D55">
        <w:rPr>
          <w:lang w:val="en-GB"/>
        </w:rPr>
        <w:t xml:space="preserve"> </w:t>
      </w:r>
      <w:r>
        <w:rPr>
          <w:lang w:val="en-GB"/>
        </w:rPr>
        <w:t xml:space="preserve">are illustrated </w:t>
      </w:r>
      <w:r w:rsidRPr="00847D55">
        <w:rPr>
          <w:lang w:val="en-GB"/>
        </w:rPr>
        <w:t>in the following figure</w:t>
      </w:r>
      <w:r>
        <w:rPr>
          <w:lang w:val="en-GB"/>
        </w:rPr>
        <w:t xml:space="preserve"> (where </w:t>
      </w:r>
      <w:r>
        <w:rPr>
          <w:lang w:val="en-US"/>
        </w:rPr>
        <w:t>c</w:t>
      </w:r>
      <w:proofErr w:type="spellStart"/>
      <w:r>
        <w:rPr>
          <w:lang w:val="en-GB"/>
        </w:rPr>
        <w:t>olours</w:t>
      </w:r>
      <w:proofErr w:type="spellEnd"/>
      <w:r>
        <w:rPr>
          <w:lang w:val="en-GB"/>
        </w:rPr>
        <w:t xml:space="preserve"> are used to differentiate between parties)</w:t>
      </w:r>
      <w:r w:rsidRPr="00847D55">
        <w:rPr>
          <w:lang w:val="en-GB"/>
        </w:rPr>
        <w:t xml:space="preserve">. </w:t>
      </w:r>
    </w:p>
    <w:p w14:paraId="241E2A88" w14:textId="77777777" w:rsidR="00C95578" w:rsidRPr="00847D55" w:rsidRDefault="00C95578" w:rsidP="00C95578">
      <w:pPr>
        <w:suppressAutoHyphens/>
        <w:autoSpaceDN w:val="0"/>
        <w:jc w:val="center"/>
        <w:textAlignment w:val="baseline"/>
        <w:rPr>
          <w:lang w:val="en-GB"/>
        </w:rPr>
      </w:pPr>
    </w:p>
    <w:p w14:paraId="345278FA" w14:textId="77777777" w:rsidR="00C95578" w:rsidRPr="00847D55" w:rsidRDefault="00C95578" w:rsidP="00C95578">
      <w:pPr>
        <w:suppressAutoHyphens/>
        <w:autoSpaceDN w:val="0"/>
        <w:jc w:val="center"/>
        <w:textAlignment w:val="baseline"/>
        <w:rPr>
          <w:lang w:val="en-GB"/>
        </w:rPr>
      </w:pPr>
      <w:commentRangeStart w:id="296"/>
      <w:r>
        <w:rPr>
          <w:noProof/>
          <w:lang w:val="en-GB" w:eastAsia="en-GB"/>
        </w:rPr>
        <w:drawing>
          <wp:inline distT="0" distB="0" distL="0" distR="0" wp14:anchorId="17BECC83" wp14:editId="0DB86F7F">
            <wp:extent cx="4142629" cy="3210350"/>
            <wp:effectExtent l="0" t="0" r="0" b="952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45889" cy="3212876"/>
                    </a:xfrm>
                    <a:prstGeom prst="rect">
                      <a:avLst/>
                    </a:prstGeom>
                  </pic:spPr>
                </pic:pic>
              </a:graphicData>
            </a:graphic>
          </wp:inline>
        </w:drawing>
      </w:r>
      <w:commentRangeEnd w:id="296"/>
      <w:r>
        <w:rPr>
          <w:rStyle w:val="CommentReference"/>
        </w:rPr>
        <w:commentReference w:id="296"/>
      </w:r>
    </w:p>
    <w:p w14:paraId="5AF7D2EE" w14:textId="77777777" w:rsidR="00C95578" w:rsidRDefault="00C95578" w:rsidP="00C95578">
      <w:pPr>
        <w:suppressAutoHyphens/>
        <w:autoSpaceDN w:val="0"/>
        <w:jc w:val="both"/>
        <w:textAlignment w:val="baseline"/>
        <w:rPr>
          <w:lang w:val="en-GB"/>
        </w:rPr>
      </w:pPr>
    </w:p>
    <w:p w14:paraId="7063D291" w14:textId="77777777" w:rsidR="00C95578" w:rsidRDefault="00C95578" w:rsidP="00C95578">
      <w:pPr>
        <w:suppressAutoHyphens/>
        <w:autoSpaceDN w:val="0"/>
        <w:jc w:val="both"/>
        <w:textAlignment w:val="baseline"/>
        <w:rPr>
          <w:lang w:val="en-US"/>
        </w:rPr>
      </w:pPr>
      <w:r w:rsidRPr="00847D55">
        <w:rPr>
          <w:lang w:val="en-US"/>
        </w:rPr>
        <w:t>The description of the</w:t>
      </w:r>
      <w:r>
        <w:rPr>
          <w:lang w:val="en-US"/>
        </w:rPr>
        <w:t>se</w:t>
      </w:r>
      <w:r w:rsidRPr="00847D55">
        <w:rPr>
          <w:lang w:val="en-US"/>
        </w:rPr>
        <w:t xml:space="preserve"> different roles and responsibilities attributions</w:t>
      </w:r>
      <w:r>
        <w:rPr>
          <w:lang w:val="en-US"/>
        </w:rPr>
        <w:t>,</w:t>
      </w:r>
      <w:r w:rsidRPr="00847D55">
        <w:rPr>
          <w:lang w:val="en-US"/>
        </w:rPr>
        <w:t xml:space="preserve"> </w:t>
      </w:r>
      <w:r>
        <w:rPr>
          <w:lang w:val="en-US"/>
        </w:rPr>
        <w:t xml:space="preserve">which are </w:t>
      </w:r>
      <w:r w:rsidRPr="00847D55">
        <w:rPr>
          <w:lang w:val="en-US"/>
        </w:rPr>
        <w:t>encountered among Member States</w:t>
      </w:r>
      <w:r>
        <w:rPr>
          <w:lang w:val="en-US"/>
        </w:rPr>
        <w:t xml:space="preserve">, were </w:t>
      </w:r>
      <w:r w:rsidRPr="00847D55">
        <w:rPr>
          <w:lang w:val="en-US"/>
        </w:rPr>
        <w:t>base</w:t>
      </w:r>
      <w:r>
        <w:rPr>
          <w:lang w:val="en-US"/>
        </w:rPr>
        <w:t>d</w:t>
      </w:r>
      <w:r w:rsidRPr="00847D55">
        <w:rPr>
          <w:lang w:val="en-US"/>
        </w:rPr>
        <w:t xml:space="preserve"> on existing models</w:t>
      </w:r>
      <w:r>
        <w:rPr>
          <w:lang w:val="en-US"/>
        </w:rPr>
        <w:t xml:space="preserve"> such as the Harmonized electricity role model</w:t>
      </w:r>
      <w:r>
        <w:rPr>
          <w:rStyle w:val="FootnoteReference"/>
          <w:lang w:val="en-US"/>
        </w:rPr>
        <w:footnoteReference w:id="19"/>
      </w:r>
      <w:r w:rsidRPr="00847D55">
        <w:rPr>
          <w:lang w:val="en-US"/>
        </w:rPr>
        <w:t xml:space="preserve">. </w:t>
      </w:r>
    </w:p>
    <w:p w14:paraId="40920A46" w14:textId="77777777" w:rsidR="00C95578" w:rsidRDefault="00C95578" w:rsidP="00C95578">
      <w:pPr>
        <w:pStyle w:val="ListParagraph"/>
        <w:numPr>
          <w:ilvl w:val="0"/>
          <w:numId w:val="30"/>
        </w:numPr>
        <w:suppressAutoHyphens/>
        <w:autoSpaceDN w:val="0"/>
        <w:spacing w:after="0"/>
        <w:ind w:left="714" w:hanging="357"/>
        <w:textAlignment w:val="baseline"/>
        <w:rPr>
          <w:lang w:val="en-GB"/>
        </w:rPr>
      </w:pPr>
      <w:r>
        <w:rPr>
          <w:lang w:val="en-GB"/>
        </w:rPr>
        <w:t>The customer will be then referred to as the “Party connected to the grid”,</w:t>
      </w:r>
    </w:p>
    <w:p w14:paraId="3DA0F42D" w14:textId="77777777" w:rsidR="00C95578" w:rsidRPr="008B033B" w:rsidRDefault="00C95578" w:rsidP="00C95578">
      <w:pPr>
        <w:pStyle w:val="ListParagraph"/>
        <w:numPr>
          <w:ilvl w:val="0"/>
          <w:numId w:val="30"/>
        </w:numPr>
        <w:suppressAutoHyphens/>
        <w:autoSpaceDN w:val="0"/>
        <w:spacing w:after="0"/>
        <w:ind w:left="714" w:hanging="357"/>
        <w:textAlignment w:val="baseline"/>
        <w:rPr>
          <w:lang w:val="en-GB"/>
        </w:rPr>
      </w:pPr>
      <w:r>
        <w:rPr>
          <w:lang w:val="en-GB"/>
        </w:rPr>
        <w:t>The 1</w:t>
      </w:r>
      <w:r w:rsidRPr="0031645E">
        <w:rPr>
          <w:vertAlign w:val="superscript"/>
          <w:lang w:val="en-GB"/>
        </w:rPr>
        <w:t>st</w:t>
      </w:r>
      <w:r>
        <w:rPr>
          <w:lang w:val="en-GB"/>
        </w:rPr>
        <w:t xml:space="preserve"> party as the “Metered D</w:t>
      </w:r>
      <w:r w:rsidRPr="008B033B">
        <w:rPr>
          <w:lang w:val="en-GB"/>
        </w:rPr>
        <w:t xml:space="preserve">ata </w:t>
      </w:r>
      <w:r>
        <w:rPr>
          <w:lang w:val="en-GB"/>
        </w:rPr>
        <w:t>Dispatcher”,</w:t>
      </w:r>
    </w:p>
    <w:p w14:paraId="62C42688" w14:textId="77777777" w:rsidR="00C95578" w:rsidRDefault="00C95578" w:rsidP="00C95578">
      <w:pPr>
        <w:pStyle w:val="ListParagraph"/>
        <w:numPr>
          <w:ilvl w:val="0"/>
          <w:numId w:val="30"/>
        </w:numPr>
        <w:suppressAutoHyphens/>
        <w:autoSpaceDN w:val="0"/>
        <w:spacing w:after="0"/>
        <w:ind w:left="714" w:hanging="357"/>
        <w:textAlignment w:val="baseline"/>
        <w:rPr>
          <w:lang w:val="en-GB"/>
        </w:rPr>
      </w:pPr>
      <w:r>
        <w:rPr>
          <w:lang w:val="en-GB"/>
        </w:rPr>
        <w:t>The 2</w:t>
      </w:r>
      <w:r w:rsidRPr="0031645E">
        <w:rPr>
          <w:vertAlign w:val="superscript"/>
          <w:lang w:val="en-GB"/>
        </w:rPr>
        <w:t>nd</w:t>
      </w:r>
      <w:r>
        <w:rPr>
          <w:lang w:val="en-GB"/>
        </w:rPr>
        <w:t xml:space="preserve"> party as the “Balance Supplier”,</w:t>
      </w:r>
    </w:p>
    <w:p w14:paraId="1A07147D" w14:textId="77777777" w:rsidR="00C95578" w:rsidRDefault="00C95578" w:rsidP="00C95578">
      <w:pPr>
        <w:pStyle w:val="ListParagraph"/>
        <w:numPr>
          <w:ilvl w:val="0"/>
          <w:numId w:val="30"/>
        </w:numPr>
        <w:suppressAutoHyphens/>
        <w:autoSpaceDN w:val="0"/>
        <w:spacing w:after="0"/>
        <w:ind w:left="714" w:hanging="357"/>
        <w:textAlignment w:val="baseline"/>
        <w:rPr>
          <w:lang w:val="en-GB"/>
        </w:rPr>
      </w:pPr>
      <w:r>
        <w:rPr>
          <w:lang w:val="en-GB"/>
        </w:rPr>
        <w:t>and the 3</w:t>
      </w:r>
      <w:r w:rsidRPr="0031645E">
        <w:rPr>
          <w:vertAlign w:val="superscript"/>
          <w:lang w:val="en-GB"/>
        </w:rPr>
        <w:t>rd</w:t>
      </w:r>
      <w:r>
        <w:rPr>
          <w:lang w:val="en-GB"/>
        </w:rPr>
        <w:t xml:space="preserve"> party as “Energy Service Company”, which provides the energy data based service</w:t>
      </w:r>
    </w:p>
    <w:p w14:paraId="1CA9B42A" w14:textId="77777777" w:rsidR="00C95578" w:rsidRDefault="00C95578" w:rsidP="00C95578">
      <w:pPr>
        <w:suppressAutoHyphens/>
        <w:autoSpaceDN w:val="0"/>
        <w:jc w:val="both"/>
        <w:textAlignment w:val="baseline"/>
        <w:rPr>
          <w:lang w:val="en-GB"/>
        </w:rPr>
      </w:pPr>
    </w:p>
    <w:p w14:paraId="35715DF0" w14:textId="77777777" w:rsidR="00C95578" w:rsidRPr="00847D55" w:rsidRDefault="00C95578" w:rsidP="00C95578">
      <w:pPr>
        <w:suppressAutoHyphens/>
        <w:autoSpaceDN w:val="0"/>
        <w:spacing w:after="120"/>
        <w:jc w:val="both"/>
        <w:textAlignment w:val="baseline"/>
        <w:rPr>
          <w:lang w:val="en-GB"/>
        </w:rPr>
      </w:pPr>
      <w:r>
        <w:rPr>
          <w:lang w:val="en-GB"/>
        </w:rPr>
        <w:lastRenderedPageBreak/>
        <w:t xml:space="preserve">In order to take into account the new requirements to comply with the GDPR, the two following new roles were defined, consistently with </w:t>
      </w:r>
      <w:r w:rsidRPr="00847D55">
        <w:rPr>
          <w:lang w:val="en-GB"/>
        </w:rPr>
        <w:t xml:space="preserve">the </w:t>
      </w:r>
      <w:r>
        <w:rPr>
          <w:lang w:val="en-GB"/>
        </w:rPr>
        <w:t>previous EG1 work</w:t>
      </w:r>
      <w:r w:rsidRPr="00847D55">
        <w:rPr>
          <w:vertAlign w:val="superscript"/>
          <w:lang w:val="en-GB"/>
        </w:rPr>
        <w:footnoteReference w:id="20"/>
      </w:r>
      <w:r w:rsidRPr="00847D55">
        <w:rPr>
          <w:lang w:val="en-GB"/>
        </w:rPr>
        <w:t>,</w:t>
      </w:r>
      <w:r>
        <w:rPr>
          <w:lang w:val="en-GB"/>
        </w:rPr>
        <w:t xml:space="preserve"> and added</w:t>
      </w:r>
      <w:r w:rsidRPr="00847D55">
        <w:rPr>
          <w:lang w:val="en-GB"/>
        </w:rPr>
        <w:t>:</w:t>
      </w:r>
    </w:p>
    <w:p w14:paraId="592DA03F" w14:textId="77777777" w:rsidR="00C95578" w:rsidRDefault="00C95578" w:rsidP="00C95578">
      <w:pPr>
        <w:pStyle w:val="ListParagraph"/>
        <w:numPr>
          <w:ilvl w:val="0"/>
          <w:numId w:val="30"/>
        </w:numPr>
        <w:suppressAutoHyphens/>
        <w:autoSpaceDN w:val="0"/>
        <w:spacing w:after="0"/>
        <w:ind w:left="714" w:hanging="357"/>
        <w:textAlignment w:val="baseline"/>
        <w:rPr>
          <w:lang w:val="en-GB"/>
        </w:rPr>
      </w:pPr>
      <w:r>
        <w:rPr>
          <w:lang w:val="en-GB"/>
        </w:rPr>
        <w:t>The “Consent Registry Responsible”, which collects, operates and deletes customer consents</w:t>
      </w:r>
    </w:p>
    <w:p w14:paraId="4669657B" w14:textId="77777777" w:rsidR="00C95578" w:rsidRDefault="00C95578" w:rsidP="00C95578">
      <w:pPr>
        <w:pStyle w:val="ListParagraph"/>
        <w:numPr>
          <w:ilvl w:val="0"/>
          <w:numId w:val="30"/>
        </w:numPr>
        <w:suppressAutoHyphens/>
        <w:autoSpaceDN w:val="0"/>
        <w:spacing w:after="0"/>
        <w:ind w:left="714" w:hanging="357"/>
        <w:textAlignment w:val="baseline"/>
        <w:rPr>
          <w:lang w:val="en-GB"/>
        </w:rPr>
      </w:pPr>
      <w:r>
        <w:rPr>
          <w:lang w:val="en-GB"/>
        </w:rPr>
        <w:t xml:space="preserve">The “Identity Service Provider”, which offers an authentication service to identify the customer </w:t>
      </w:r>
    </w:p>
    <w:p w14:paraId="5466FC4B" w14:textId="77777777" w:rsidR="00C95578" w:rsidRDefault="00C95578" w:rsidP="00C95578">
      <w:pPr>
        <w:pStyle w:val="ListParagraph"/>
        <w:numPr>
          <w:ilvl w:val="0"/>
          <w:numId w:val="30"/>
        </w:numPr>
        <w:suppressAutoHyphens/>
        <w:autoSpaceDN w:val="0"/>
        <w:spacing w:after="0"/>
        <w:ind w:left="714" w:hanging="357"/>
        <w:textAlignment w:val="baseline"/>
        <w:rPr>
          <w:lang w:val="en-GB"/>
        </w:rPr>
      </w:pPr>
      <w:r>
        <w:rPr>
          <w:lang w:val="en-GB"/>
        </w:rPr>
        <w:t>The “Access Rights Manager”, which grants an user the rights to access data functionalities related to a given metering point</w:t>
      </w:r>
    </w:p>
    <w:p w14:paraId="0DE9B692" w14:textId="77777777" w:rsidR="00C95578" w:rsidRPr="008B033B" w:rsidRDefault="00C95578" w:rsidP="00C95578">
      <w:pPr>
        <w:pStyle w:val="ListParagraph"/>
        <w:numPr>
          <w:ilvl w:val="0"/>
          <w:numId w:val="30"/>
        </w:numPr>
        <w:suppressAutoHyphens/>
        <w:autoSpaceDN w:val="0"/>
        <w:spacing w:after="0"/>
        <w:ind w:left="714" w:hanging="357"/>
        <w:textAlignment w:val="baseline"/>
        <w:rPr>
          <w:lang w:val="en-GB"/>
        </w:rPr>
      </w:pPr>
      <w:r>
        <w:rPr>
          <w:lang w:val="en-GB"/>
        </w:rPr>
        <w:t>The “Metered Data Dispatcher”, which sends metered data to the authorized third party and the consumer</w:t>
      </w:r>
    </w:p>
    <w:p w14:paraId="5A0DB30A" w14:textId="77777777" w:rsidR="00C95578" w:rsidRPr="00D451F9" w:rsidRDefault="00C95578" w:rsidP="00C95578">
      <w:pPr>
        <w:rPr>
          <w:lang w:val="en-GB"/>
        </w:rPr>
      </w:pPr>
      <w:r>
        <w:rPr>
          <w:lang w:val="en-GB"/>
        </w:rPr>
        <w:t>The complete set of roles that are needed for the Business Uses Cases definition is then:</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66"/>
        <w:gridCol w:w="6960"/>
      </w:tblGrid>
      <w:tr w:rsidR="00C95578" w:rsidRPr="008E4519" w14:paraId="35CB0999" w14:textId="77777777" w:rsidTr="00F1180F">
        <w:tc>
          <w:tcPr>
            <w:tcW w:w="1347" w:type="pct"/>
            <w:tcBorders>
              <w:top w:val="single" w:sz="6" w:space="0" w:color="000000"/>
              <w:left w:val="single" w:sz="6" w:space="0" w:color="000000"/>
              <w:bottom w:val="single" w:sz="6" w:space="0" w:color="000000"/>
              <w:right w:val="single" w:sz="6" w:space="0" w:color="000000"/>
            </w:tcBorders>
            <w:vAlign w:val="center"/>
            <w:hideMark/>
          </w:tcPr>
          <w:p w14:paraId="5A9A62B8" w14:textId="77777777" w:rsidR="00C95578" w:rsidRPr="003C65BD" w:rsidRDefault="00C95578" w:rsidP="00F1180F">
            <w:pPr>
              <w:rPr>
                <w:rFonts w:eastAsia="Times New Roman"/>
                <w:color w:val="000000"/>
                <w:szCs w:val="22"/>
                <w:lang w:val="en-GB"/>
              </w:rPr>
            </w:pPr>
            <w:bookmarkStart w:id="297" w:name="{C7889BA9-03C9-4b7d-AC89-8AD46E1C860E}"/>
            <w:r w:rsidRPr="003C65BD">
              <w:rPr>
                <w:rFonts w:eastAsia="Times New Roman"/>
                <w:color w:val="000000"/>
                <w:szCs w:val="22"/>
                <w:lang w:val="en-GB"/>
              </w:rPr>
              <w:t>Party Connected to the Grid</w:t>
            </w:r>
            <w:bookmarkEnd w:id="297"/>
            <w:r w:rsidRPr="003C65BD">
              <w:rPr>
                <w:rFonts w:eastAsia="Times New Roman"/>
                <w:color w:val="000000"/>
                <w:szCs w:val="22"/>
                <w:lang w:val="en-GB"/>
              </w:rPr>
              <w:t xml:space="preserve"> (*)</w:t>
            </w:r>
          </w:p>
        </w:tc>
        <w:tc>
          <w:tcPr>
            <w:tcW w:w="3653" w:type="pct"/>
            <w:tcBorders>
              <w:top w:val="single" w:sz="6" w:space="0" w:color="000000"/>
              <w:left w:val="single" w:sz="6" w:space="0" w:color="000000"/>
              <w:bottom w:val="single" w:sz="6" w:space="0" w:color="000000"/>
              <w:right w:val="single" w:sz="6" w:space="0" w:color="000000"/>
            </w:tcBorders>
            <w:vAlign w:val="center"/>
            <w:hideMark/>
          </w:tcPr>
          <w:p w14:paraId="6FCA0FBF" w14:textId="77777777" w:rsidR="00C95578" w:rsidRPr="003C65BD" w:rsidRDefault="00C95578" w:rsidP="00F1180F">
            <w:pPr>
              <w:rPr>
                <w:rFonts w:eastAsia="Times New Roman"/>
                <w:color w:val="000000"/>
                <w:szCs w:val="22"/>
                <w:lang w:val="en-GB"/>
              </w:rPr>
            </w:pPr>
            <w:r w:rsidRPr="003C65BD">
              <w:rPr>
                <w:rFonts w:eastAsia="Times New Roman"/>
                <w:color w:val="000000"/>
                <w:szCs w:val="22"/>
                <w:lang w:val="en-GB"/>
              </w:rPr>
              <w:t>A party, also described as the “customer”, that contracts for the right to consume or produce electricity and gas at an Accounting Point</w:t>
            </w:r>
          </w:p>
        </w:tc>
      </w:tr>
      <w:tr w:rsidR="00C95578" w:rsidRPr="008E4519" w14:paraId="52A0621B" w14:textId="77777777" w:rsidTr="00F1180F">
        <w:trPr>
          <w:trHeight w:val="1912"/>
        </w:trPr>
        <w:tc>
          <w:tcPr>
            <w:tcW w:w="1347" w:type="pct"/>
            <w:tcBorders>
              <w:top w:val="single" w:sz="6" w:space="0" w:color="000000"/>
              <w:left w:val="single" w:sz="6" w:space="0" w:color="000000"/>
              <w:bottom w:val="single" w:sz="6" w:space="0" w:color="000000"/>
              <w:right w:val="single" w:sz="6" w:space="0" w:color="000000"/>
            </w:tcBorders>
            <w:vAlign w:val="center"/>
            <w:hideMark/>
          </w:tcPr>
          <w:p w14:paraId="493C0C1F" w14:textId="77777777" w:rsidR="00C95578" w:rsidRPr="003C65BD" w:rsidRDefault="00C95578" w:rsidP="00F1180F">
            <w:pPr>
              <w:rPr>
                <w:rFonts w:eastAsia="Times New Roman"/>
                <w:color w:val="000000"/>
                <w:szCs w:val="22"/>
                <w:lang w:val="en-GB"/>
              </w:rPr>
            </w:pPr>
            <w:bookmarkStart w:id="298" w:name="{C57E93FD-91CC-4b92-9ED0-17B678CC9964}"/>
            <w:r w:rsidRPr="003C65BD">
              <w:rPr>
                <w:rFonts w:eastAsia="Times New Roman"/>
                <w:color w:val="000000"/>
                <w:szCs w:val="22"/>
                <w:lang w:val="en-GB"/>
              </w:rPr>
              <w:t>Balance Supplier</w:t>
            </w:r>
            <w:bookmarkEnd w:id="298"/>
            <w:r w:rsidRPr="003C65BD">
              <w:rPr>
                <w:rFonts w:eastAsia="Times New Roman"/>
                <w:color w:val="000000"/>
                <w:szCs w:val="22"/>
                <w:lang w:val="en-GB"/>
              </w:rPr>
              <w:t xml:space="preserve"> (*)</w:t>
            </w:r>
          </w:p>
        </w:tc>
        <w:tc>
          <w:tcPr>
            <w:tcW w:w="3653" w:type="pct"/>
            <w:tcBorders>
              <w:top w:val="single" w:sz="6" w:space="0" w:color="000000"/>
              <w:left w:val="single" w:sz="6" w:space="0" w:color="000000"/>
              <w:bottom w:val="single" w:sz="6" w:space="0" w:color="000000"/>
              <w:right w:val="single" w:sz="6" w:space="0" w:color="000000"/>
            </w:tcBorders>
            <w:vAlign w:val="center"/>
            <w:hideMark/>
          </w:tcPr>
          <w:p w14:paraId="1FA9DD6D" w14:textId="77777777" w:rsidR="00C95578" w:rsidRPr="003C65BD" w:rsidRDefault="00C95578" w:rsidP="00F1180F">
            <w:pPr>
              <w:rPr>
                <w:rFonts w:eastAsia="Times New Roman"/>
                <w:color w:val="000000"/>
                <w:szCs w:val="22"/>
                <w:lang w:val="en-GB"/>
              </w:rPr>
            </w:pPr>
            <w:r w:rsidRPr="003C65BD">
              <w:rPr>
                <w:rFonts w:eastAsia="Times New Roman"/>
                <w:color w:val="000000"/>
                <w:szCs w:val="22"/>
                <w:lang w:val="en-GB"/>
              </w:rPr>
              <w:t xml:space="preserve">A party that markets the difference between actual metered energy consumption and the energy bought with firm energy contracts by the Party Connected to the Grid. In addition, the Balance Supplier markets any difference with the firm energy contract (of the Party Connected to the Grid) and the metered production. </w:t>
            </w:r>
            <w:r w:rsidRPr="003C65BD">
              <w:rPr>
                <w:rFonts w:eastAsia="Times New Roman"/>
                <w:color w:val="000000"/>
                <w:szCs w:val="22"/>
                <w:lang w:val="en-GB"/>
              </w:rPr>
              <w:br/>
              <w:t>Is also referred to as “second party” in the document.</w:t>
            </w:r>
            <w:r w:rsidRPr="003C65BD">
              <w:rPr>
                <w:rFonts w:eastAsia="Times New Roman"/>
                <w:color w:val="000000"/>
                <w:szCs w:val="22"/>
                <w:lang w:val="en-GB"/>
              </w:rPr>
              <w:br/>
              <w:t>There is only one Balance Supplier for each Accounting Point.</w:t>
            </w:r>
          </w:p>
        </w:tc>
      </w:tr>
      <w:tr w:rsidR="00C95578" w:rsidRPr="008E4519" w14:paraId="7EE1B96F" w14:textId="77777777" w:rsidTr="00F1180F">
        <w:tc>
          <w:tcPr>
            <w:tcW w:w="1347" w:type="pct"/>
            <w:tcBorders>
              <w:top w:val="single" w:sz="6" w:space="0" w:color="000000"/>
              <w:left w:val="single" w:sz="6" w:space="0" w:color="000000"/>
              <w:bottom w:val="single" w:sz="6" w:space="0" w:color="000000"/>
              <w:right w:val="single" w:sz="6" w:space="0" w:color="000000"/>
            </w:tcBorders>
            <w:vAlign w:val="center"/>
            <w:hideMark/>
          </w:tcPr>
          <w:p w14:paraId="6DE098E5" w14:textId="77777777" w:rsidR="00C95578" w:rsidRPr="003C65BD" w:rsidRDefault="00C95578" w:rsidP="00F1180F">
            <w:pPr>
              <w:rPr>
                <w:rFonts w:eastAsia="Times New Roman"/>
                <w:color w:val="000000"/>
                <w:szCs w:val="22"/>
                <w:lang w:val="en-GB"/>
              </w:rPr>
            </w:pPr>
            <w:bookmarkStart w:id="299" w:name="{88E9BE95-A700-45c5-948E-125233DA9171}"/>
            <w:r w:rsidRPr="003C65BD">
              <w:rPr>
                <w:rFonts w:eastAsia="Times New Roman"/>
                <w:color w:val="000000"/>
                <w:szCs w:val="22"/>
                <w:lang w:val="en-GB"/>
              </w:rPr>
              <w:t>Energy Service Company</w:t>
            </w:r>
            <w:bookmarkEnd w:id="299"/>
            <w:r w:rsidRPr="003C65BD">
              <w:rPr>
                <w:rFonts w:eastAsia="Times New Roman"/>
                <w:color w:val="000000"/>
                <w:szCs w:val="22"/>
                <w:lang w:val="en-GB"/>
              </w:rPr>
              <w:t xml:space="preserve"> (*)</w:t>
            </w:r>
          </w:p>
        </w:tc>
        <w:tc>
          <w:tcPr>
            <w:tcW w:w="3653" w:type="pct"/>
            <w:tcBorders>
              <w:top w:val="single" w:sz="6" w:space="0" w:color="000000"/>
              <w:left w:val="single" w:sz="6" w:space="0" w:color="000000"/>
              <w:bottom w:val="single" w:sz="6" w:space="0" w:color="000000"/>
              <w:right w:val="single" w:sz="6" w:space="0" w:color="000000"/>
            </w:tcBorders>
            <w:vAlign w:val="center"/>
            <w:hideMark/>
          </w:tcPr>
          <w:p w14:paraId="5C568964" w14:textId="77777777" w:rsidR="00C95578" w:rsidRPr="003C65BD" w:rsidRDefault="00C95578" w:rsidP="00F1180F">
            <w:pPr>
              <w:rPr>
                <w:rFonts w:eastAsia="Times New Roman"/>
                <w:color w:val="000000"/>
                <w:szCs w:val="22"/>
                <w:lang w:val="en-GB"/>
              </w:rPr>
            </w:pPr>
            <w:r w:rsidRPr="003C65BD">
              <w:rPr>
                <w:rFonts w:eastAsia="Times New Roman"/>
                <w:color w:val="000000"/>
                <w:szCs w:val="22"/>
                <w:lang w:val="en-GB"/>
              </w:rPr>
              <w:t>A party offering energy-related services to the Party Connected to Grid, but not directly active in the energy value chain or the physical infrastructure itself. The Energy Service Company (ESCO) may provide insight services as well as energy management services.</w:t>
            </w:r>
            <w:r w:rsidRPr="003C65BD">
              <w:rPr>
                <w:rFonts w:eastAsia="Times New Roman"/>
                <w:color w:val="000000"/>
                <w:szCs w:val="22"/>
                <w:lang w:val="en-GB"/>
              </w:rPr>
              <w:br/>
              <w:t>Additional information: is also referred to as “third party” in the document.</w:t>
            </w:r>
          </w:p>
        </w:tc>
      </w:tr>
      <w:tr w:rsidR="00C95578" w:rsidRPr="008E4519" w14:paraId="2EB42D1A" w14:textId="77777777" w:rsidTr="00F1180F">
        <w:tc>
          <w:tcPr>
            <w:tcW w:w="1347" w:type="pct"/>
            <w:tcBorders>
              <w:top w:val="single" w:sz="6" w:space="0" w:color="000000"/>
              <w:left w:val="single" w:sz="6" w:space="0" w:color="000000"/>
              <w:bottom w:val="single" w:sz="6" w:space="0" w:color="000000"/>
              <w:right w:val="single" w:sz="6" w:space="0" w:color="000000"/>
            </w:tcBorders>
            <w:vAlign w:val="center"/>
            <w:hideMark/>
          </w:tcPr>
          <w:p w14:paraId="3493DE0C" w14:textId="77777777" w:rsidR="00C95578" w:rsidRPr="003C65BD" w:rsidRDefault="00C95578" w:rsidP="00F1180F">
            <w:pPr>
              <w:rPr>
                <w:rFonts w:eastAsia="Times New Roman"/>
                <w:color w:val="000000"/>
                <w:szCs w:val="22"/>
                <w:lang w:val="en-GB"/>
              </w:rPr>
            </w:pPr>
            <w:bookmarkStart w:id="300" w:name="{73B03E25-F060-4cfb-8BE8-C9F4D4EDF5B1}"/>
            <w:r w:rsidRPr="003C65BD">
              <w:rPr>
                <w:rFonts w:eastAsia="Times New Roman"/>
                <w:color w:val="000000"/>
                <w:szCs w:val="22"/>
                <w:lang w:val="en-GB"/>
              </w:rPr>
              <w:t>Consent Registry Responsible</w:t>
            </w:r>
            <w:bookmarkEnd w:id="300"/>
          </w:p>
        </w:tc>
        <w:tc>
          <w:tcPr>
            <w:tcW w:w="3653" w:type="pct"/>
            <w:tcBorders>
              <w:top w:val="single" w:sz="6" w:space="0" w:color="000000"/>
              <w:left w:val="single" w:sz="6" w:space="0" w:color="000000"/>
              <w:bottom w:val="single" w:sz="6" w:space="0" w:color="000000"/>
              <w:right w:val="single" w:sz="6" w:space="0" w:color="000000"/>
            </w:tcBorders>
            <w:vAlign w:val="center"/>
            <w:hideMark/>
          </w:tcPr>
          <w:p w14:paraId="27BA3C9D" w14:textId="77777777" w:rsidR="00C95578" w:rsidRPr="003C65BD" w:rsidRDefault="00C95578" w:rsidP="00F1180F">
            <w:pPr>
              <w:rPr>
                <w:rFonts w:eastAsia="Times New Roman"/>
                <w:color w:val="000000"/>
                <w:szCs w:val="22"/>
                <w:lang w:val="en-GB"/>
              </w:rPr>
            </w:pPr>
            <w:r w:rsidRPr="003C65BD">
              <w:rPr>
                <w:rFonts w:eastAsia="Times New Roman"/>
                <w:color w:val="000000"/>
                <w:szCs w:val="22"/>
                <w:lang w:val="en-GB"/>
              </w:rPr>
              <w:t>A party responsible for the management of the customer consent registry. He receives consents and revocation notifications from authorized parties, stores and operates the consent registry, revokes and delete consents, and notifies the execution of requests to concerned parties.</w:t>
            </w:r>
          </w:p>
        </w:tc>
      </w:tr>
      <w:tr w:rsidR="00C95578" w:rsidRPr="008E4519" w14:paraId="09460C96" w14:textId="77777777" w:rsidTr="00F1180F">
        <w:trPr>
          <w:trHeight w:val="1074"/>
        </w:trPr>
        <w:tc>
          <w:tcPr>
            <w:tcW w:w="1347" w:type="pct"/>
            <w:tcBorders>
              <w:top w:val="single" w:sz="6" w:space="0" w:color="000000"/>
              <w:left w:val="single" w:sz="6" w:space="0" w:color="000000"/>
              <w:bottom w:val="single" w:sz="6" w:space="0" w:color="000000"/>
              <w:right w:val="single" w:sz="6" w:space="0" w:color="000000"/>
            </w:tcBorders>
            <w:vAlign w:val="center"/>
            <w:hideMark/>
          </w:tcPr>
          <w:p w14:paraId="5132FEA8" w14:textId="77777777" w:rsidR="00C95578" w:rsidRPr="003C65BD" w:rsidRDefault="00C95578" w:rsidP="00F1180F">
            <w:pPr>
              <w:rPr>
                <w:rFonts w:eastAsia="Times New Roman"/>
                <w:color w:val="000000"/>
                <w:szCs w:val="22"/>
                <w:lang w:val="en-GB"/>
              </w:rPr>
            </w:pPr>
            <w:bookmarkStart w:id="301" w:name="{8C30F9D1-CFB5-45aa-B8FE-A9F404178634}"/>
            <w:r w:rsidRPr="003C65BD">
              <w:rPr>
                <w:rFonts w:eastAsia="Times New Roman"/>
                <w:color w:val="000000"/>
                <w:szCs w:val="22"/>
                <w:lang w:val="en-GB"/>
              </w:rPr>
              <w:t>Identity Service Provider</w:t>
            </w:r>
            <w:bookmarkEnd w:id="301"/>
          </w:p>
        </w:tc>
        <w:tc>
          <w:tcPr>
            <w:tcW w:w="3653" w:type="pct"/>
            <w:tcBorders>
              <w:top w:val="single" w:sz="6" w:space="0" w:color="000000"/>
              <w:left w:val="single" w:sz="6" w:space="0" w:color="000000"/>
              <w:bottom w:val="single" w:sz="6" w:space="0" w:color="000000"/>
              <w:right w:val="single" w:sz="6" w:space="0" w:color="000000"/>
            </w:tcBorders>
            <w:vAlign w:val="center"/>
            <w:hideMark/>
          </w:tcPr>
          <w:p w14:paraId="2C60666C" w14:textId="77777777" w:rsidR="00C95578" w:rsidRPr="003C65BD" w:rsidRDefault="00C95578" w:rsidP="00F1180F">
            <w:pPr>
              <w:rPr>
                <w:rFonts w:eastAsia="Times New Roman"/>
                <w:color w:val="000000"/>
                <w:szCs w:val="22"/>
                <w:lang w:val="en-GB"/>
              </w:rPr>
            </w:pPr>
            <w:r w:rsidRPr="003C65BD">
              <w:rPr>
                <w:rFonts w:eastAsia="Times New Roman"/>
                <w:color w:val="000000"/>
                <w:szCs w:val="22"/>
                <w:lang w:val="en-GB"/>
              </w:rPr>
              <w:t>A party offering an authentication service for the other involved parties, to identify the customer.</w:t>
            </w:r>
          </w:p>
        </w:tc>
      </w:tr>
      <w:tr w:rsidR="00C95578" w:rsidRPr="008E4519" w14:paraId="617FAA95" w14:textId="77777777" w:rsidTr="00F1180F">
        <w:trPr>
          <w:trHeight w:val="1074"/>
        </w:trPr>
        <w:tc>
          <w:tcPr>
            <w:tcW w:w="1347" w:type="pct"/>
            <w:tcBorders>
              <w:top w:val="single" w:sz="6" w:space="0" w:color="000000"/>
              <w:left w:val="single" w:sz="6" w:space="0" w:color="000000"/>
              <w:bottom w:val="single" w:sz="6" w:space="0" w:color="000000"/>
              <w:right w:val="single" w:sz="6" w:space="0" w:color="000000"/>
            </w:tcBorders>
            <w:vAlign w:val="center"/>
          </w:tcPr>
          <w:p w14:paraId="5F5D97AE" w14:textId="77777777" w:rsidR="00C95578" w:rsidRPr="003C65BD" w:rsidRDefault="00C95578" w:rsidP="00F1180F">
            <w:pPr>
              <w:rPr>
                <w:rFonts w:eastAsia="Times New Roman"/>
                <w:color w:val="000000"/>
                <w:szCs w:val="22"/>
                <w:lang w:val="en-GB"/>
              </w:rPr>
            </w:pPr>
            <w:r w:rsidRPr="003C65BD">
              <w:rPr>
                <w:rFonts w:eastAsia="Times New Roman"/>
                <w:color w:val="000000"/>
                <w:szCs w:val="22"/>
                <w:lang w:val="en-GB"/>
              </w:rPr>
              <w:t>Right Access Manager</w:t>
            </w:r>
          </w:p>
        </w:tc>
        <w:tc>
          <w:tcPr>
            <w:tcW w:w="3653" w:type="pct"/>
            <w:tcBorders>
              <w:top w:val="single" w:sz="6" w:space="0" w:color="000000"/>
              <w:left w:val="single" w:sz="6" w:space="0" w:color="000000"/>
              <w:bottom w:val="single" w:sz="6" w:space="0" w:color="000000"/>
              <w:right w:val="single" w:sz="6" w:space="0" w:color="000000"/>
            </w:tcBorders>
            <w:vAlign w:val="center"/>
          </w:tcPr>
          <w:p w14:paraId="2490C91A" w14:textId="77777777" w:rsidR="00C95578" w:rsidRPr="003C65BD" w:rsidRDefault="00C95578" w:rsidP="00F1180F">
            <w:pPr>
              <w:rPr>
                <w:rFonts w:eastAsia="Times New Roman"/>
                <w:color w:val="000000"/>
                <w:szCs w:val="22"/>
                <w:lang w:val="en-GB"/>
              </w:rPr>
            </w:pPr>
            <w:r w:rsidRPr="003C65BD">
              <w:rPr>
                <w:rFonts w:eastAsia="Times New Roman"/>
                <w:color w:val="000000"/>
                <w:szCs w:val="22"/>
                <w:lang w:val="en-GB"/>
              </w:rPr>
              <w:t xml:space="preserve">A party responsible for establishing </w:t>
            </w:r>
            <w:r>
              <w:rPr>
                <w:rFonts w:eastAsia="Times New Roman"/>
                <w:color w:val="000000"/>
                <w:szCs w:val="22"/>
                <w:lang w:val="en-GB"/>
              </w:rPr>
              <w:t xml:space="preserve">and checking </w:t>
            </w:r>
            <w:r w:rsidRPr="003C65BD">
              <w:rPr>
                <w:rFonts w:eastAsia="Times New Roman"/>
                <w:color w:val="000000"/>
                <w:szCs w:val="22"/>
                <w:lang w:val="en-GB"/>
              </w:rPr>
              <w:t>the link between a customer and a given metering point for the other involved parties. It guarantees that the customer is authorised to use “data access”, “data sharing” and “consent management” functionalities related to a metering point.</w:t>
            </w:r>
          </w:p>
        </w:tc>
      </w:tr>
      <w:tr w:rsidR="00C95578" w:rsidRPr="008E4519" w14:paraId="57F0A3A0" w14:textId="77777777" w:rsidTr="00F1180F">
        <w:trPr>
          <w:trHeight w:val="1074"/>
        </w:trPr>
        <w:tc>
          <w:tcPr>
            <w:tcW w:w="1347" w:type="pct"/>
            <w:tcBorders>
              <w:top w:val="single" w:sz="6" w:space="0" w:color="000000"/>
              <w:left w:val="single" w:sz="6" w:space="0" w:color="000000"/>
              <w:bottom w:val="single" w:sz="6" w:space="0" w:color="000000"/>
              <w:right w:val="single" w:sz="6" w:space="0" w:color="000000"/>
            </w:tcBorders>
            <w:vAlign w:val="center"/>
          </w:tcPr>
          <w:p w14:paraId="79C0028C" w14:textId="77777777" w:rsidR="00C95578" w:rsidRPr="003C65BD" w:rsidDel="003C65BD" w:rsidRDefault="00C95578" w:rsidP="00F1180F">
            <w:pPr>
              <w:rPr>
                <w:rFonts w:eastAsia="Times New Roman"/>
                <w:color w:val="000000"/>
                <w:szCs w:val="22"/>
                <w:lang w:val="en-GB"/>
              </w:rPr>
            </w:pPr>
            <w:r w:rsidRPr="003C65BD">
              <w:rPr>
                <w:szCs w:val="22"/>
                <w:lang w:val="en-GB"/>
              </w:rPr>
              <w:lastRenderedPageBreak/>
              <w:t>Metered Data Dispatcher</w:t>
            </w:r>
          </w:p>
        </w:tc>
        <w:tc>
          <w:tcPr>
            <w:tcW w:w="3653" w:type="pct"/>
            <w:tcBorders>
              <w:top w:val="single" w:sz="6" w:space="0" w:color="000000"/>
              <w:left w:val="single" w:sz="6" w:space="0" w:color="000000"/>
              <w:bottom w:val="single" w:sz="6" w:space="0" w:color="000000"/>
              <w:right w:val="single" w:sz="6" w:space="0" w:color="000000"/>
            </w:tcBorders>
            <w:vAlign w:val="center"/>
          </w:tcPr>
          <w:p w14:paraId="562EAEB1" w14:textId="77777777" w:rsidR="00C95578" w:rsidRPr="003C65BD" w:rsidRDefault="00C95578" w:rsidP="00F1180F">
            <w:pPr>
              <w:rPr>
                <w:rFonts w:eastAsia="Times New Roman"/>
                <w:color w:val="000000"/>
                <w:szCs w:val="22"/>
                <w:lang w:val="en-GB"/>
              </w:rPr>
            </w:pPr>
            <w:r>
              <w:rPr>
                <w:szCs w:val="22"/>
                <w:lang w:val="en-US"/>
              </w:rPr>
              <w:t>A</w:t>
            </w:r>
            <w:r w:rsidRPr="003C65BD">
              <w:rPr>
                <w:szCs w:val="22"/>
                <w:lang w:val="en-US"/>
              </w:rPr>
              <w:t xml:space="preserve"> party responsible to send metered data to </w:t>
            </w:r>
            <w:r>
              <w:rPr>
                <w:szCs w:val="22"/>
                <w:lang w:val="en-US"/>
              </w:rPr>
              <w:t xml:space="preserve">the customer and to </w:t>
            </w:r>
            <w:r w:rsidRPr="003C65BD">
              <w:rPr>
                <w:szCs w:val="22"/>
                <w:lang w:val="en-US"/>
              </w:rPr>
              <w:t xml:space="preserve">authorized </w:t>
            </w:r>
            <w:r>
              <w:rPr>
                <w:szCs w:val="22"/>
                <w:lang w:val="en-US"/>
              </w:rPr>
              <w:t>parties.</w:t>
            </w:r>
          </w:p>
        </w:tc>
      </w:tr>
    </w:tbl>
    <w:p w14:paraId="45C21D79" w14:textId="77777777" w:rsidR="00C95578" w:rsidRPr="003A6808" w:rsidRDefault="00C95578" w:rsidP="00C95578">
      <w:pPr>
        <w:pStyle w:val="NoSpacing"/>
        <w:rPr>
          <w:sz w:val="18"/>
          <w:lang w:val="en-GB"/>
        </w:rPr>
      </w:pPr>
      <w:r w:rsidRPr="003A6808">
        <w:rPr>
          <w:sz w:val="18"/>
          <w:lang w:val="en-GB"/>
        </w:rPr>
        <w:t xml:space="preserve">(*) </w:t>
      </w:r>
      <w:r>
        <w:rPr>
          <w:sz w:val="18"/>
          <w:lang w:val="en-GB"/>
        </w:rPr>
        <w:t xml:space="preserve">Roles already defined </w:t>
      </w:r>
      <w:r w:rsidRPr="003A6808">
        <w:rPr>
          <w:sz w:val="18"/>
          <w:lang w:val="en-GB"/>
        </w:rPr>
        <w:t xml:space="preserve">in the Harmonized Electricity </w:t>
      </w:r>
      <w:r>
        <w:rPr>
          <w:sz w:val="18"/>
          <w:lang w:val="en-GB"/>
        </w:rPr>
        <w:t xml:space="preserve">Market </w:t>
      </w:r>
      <w:r w:rsidRPr="003A6808">
        <w:rPr>
          <w:sz w:val="18"/>
          <w:lang w:val="en-GB"/>
        </w:rPr>
        <w:t>Role Model.</w:t>
      </w:r>
    </w:p>
    <w:p w14:paraId="42F17775" w14:textId="77777777" w:rsidR="00C95578" w:rsidRPr="00847D55" w:rsidRDefault="00C95578" w:rsidP="00C95578">
      <w:pPr>
        <w:suppressAutoHyphens/>
        <w:autoSpaceDN w:val="0"/>
        <w:jc w:val="both"/>
        <w:textAlignment w:val="baseline"/>
        <w:rPr>
          <w:rFonts w:asciiTheme="minorHAnsi" w:hAnsiTheme="minorHAnsi" w:cstheme="minorHAnsi"/>
          <w:sz w:val="20"/>
          <w:lang w:val="en-GB"/>
        </w:rPr>
      </w:pPr>
    </w:p>
    <w:p w14:paraId="4480AECD" w14:textId="0707364C" w:rsidR="00C95578" w:rsidRDefault="00C95578" w:rsidP="00C95578">
      <w:pPr>
        <w:jc w:val="both"/>
        <w:rPr>
          <w:rStyle w:val="NoSpacingChar1"/>
          <w:rFonts w:asciiTheme="minorHAnsi" w:hAnsiTheme="minorHAnsi" w:cstheme="minorHAnsi"/>
          <w:szCs w:val="22"/>
          <w:lang w:val="en-GB"/>
        </w:rPr>
      </w:pPr>
      <w:r>
        <w:rPr>
          <w:rStyle w:val="NoSpacingChar1"/>
          <w:rFonts w:asciiTheme="minorHAnsi" w:hAnsiTheme="minorHAnsi" w:cstheme="minorHAnsi"/>
          <w:szCs w:val="22"/>
          <w:lang w:val="en-GB"/>
        </w:rPr>
        <w:t xml:space="preserve">Ensuring interoperability and guaranteeing that all procedure descriptions are well understood before implementation require this set of roles to be defined in detail and consistently with the existing ones. They may for example be integrated as an extension of the Harmonized Electricity Market Role Model. </w:t>
      </w:r>
    </w:p>
    <w:p w14:paraId="51682986" w14:textId="77777777" w:rsidR="00C95578" w:rsidRPr="00C95578" w:rsidRDefault="00C95578" w:rsidP="00C95578">
      <w:pPr>
        <w:rPr>
          <w:lang w:val="en-GB"/>
        </w:rPr>
      </w:pPr>
    </w:p>
    <w:p w14:paraId="62320026" w14:textId="77777777" w:rsidR="00C95578" w:rsidRDefault="00C95578" w:rsidP="00C95578">
      <w:pPr>
        <w:pStyle w:val="Heading4"/>
        <w:numPr>
          <w:ilvl w:val="3"/>
          <w:numId w:val="13"/>
        </w:numPr>
        <w:spacing w:after="120"/>
      </w:pPr>
      <w:bookmarkStart w:id="302" w:name="_Toc533261863"/>
      <w:commentRangeStart w:id="303"/>
      <w:r>
        <w:t>Procedures</w:t>
      </w:r>
      <w:commentRangeEnd w:id="303"/>
      <w:r>
        <w:rPr>
          <w:rStyle w:val="CommentReference"/>
          <w:rFonts w:ascii="Calibri" w:eastAsia="SimSun" w:hAnsi="Calibri" w:cs="Arial"/>
          <w:b w:val="0"/>
          <w:i w:val="0"/>
          <w:color w:val="auto"/>
          <w:lang w:val="nl-NL"/>
        </w:rPr>
        <w:commentReference w:id="303"/>
      </w:r>
      <w:bookmarkEnd w:id="302"/>
    </w:p>
    <w:p w14:paraId="333C9B88" w14:textId="77777777" w:rsidR="00C95578" w:rsidRDefault="00C95578" w:rsidP="00C95578">
      <w:pPr>
        <w:pStyle w:val="NoSpacing"/>
        <w:rPr>
          <w:lang w:val="en-GB"/>
        </w:rPr>
      </w:pPr>
    </w:p>
    <w:p w14:paraId="37276F32" w14:textId="77777777" w:rsidR="00C95578" w:rsidRDefault="00C95578" w:rsidP="00C95578">
      <w:pPr>
        <w:suppressAutoHyphens/>
        <w:autoSpaceDN w:val="0"/>
        <w:textAlignment w:val="baseline"/>
        <w:rPr>
          <w:lang w:val="en-GB"/>
        </w:rPr>
      </w:pPr>
      <w:r>
        <w:rPr>
          <w:lang w:val="en-GB"/>
        </w:rPr>
        <w:t>Four generic Business Use Cases could be defined after having established several examples of customer journeys that may be encountered in the already existing implementations of the use cases “download my data” and “share my data”. A specific procedure for “consent revocation” was needed and defined as a specific use case, as well as the “service termination” which requires consent revocation.</w:t>
      </w:r>
    </w:p>
    <w:p w14:paraId="7EE1B33E" w14:textId="77777777" w:rsidR="00C95578" w:rsidRDefault="00C95578" w:rsidP="00C95578">
      <w:pPr>
        <w:suppressAutoHyphens/>
        <w:autoSpaceDN w:val="0"/>
        <w:textAlignment w:val="baseline"/>
        <w:rPr>
          <w:lang w:val="en-GB"/>
        </w:rPr>
      </w:pPr>
      <w:r>
        <w:rPr>
          <w:lang w:val="en-GB"/>
        </w:rPr>
        <w:t>Overviews of the use cases follow. They are fully described in annex.</w:t>
      </w:r>
    </w:p>
    <w:p w14:paraId="33A648CF" w14:textId="77777777" w:rsidR="00C95578" w:rsidRDefault="00C95578" w:rsidP="00C95578">
      <w:pPr>
        <w:pStyle w:val="ListParagraph"/>
        <w:numPr>
          <w:ilvl w:val="0"/>
          <w:numId w:val="29"/>
        </w:numPr>
        <w:suppressAutoHyphens/>
        <w:autoSpaceDN w:val="0"/>
        <w:textAlignment w:val="baseline"/>
        <w:rPr>
          <w:lang w:val="en-GB"/>
        </w:rPr>
      </w:pPr>
      <w:r>
        <w:rPr>
          <w:lang w:val="en-GB"/>
        </w:rPr>
        <w:t>Download my data</w:t>
      </w:r>
    </w:p>
    <w:p w14:paraId="0D440DA3" w14:textId="77777777" w:rsidR="00C95578" w:rsidRPr="004F4092" w:rsidRDefault="00C95578" w:rsidP="00C95578">
      <w:pPr>
        <w:suppressAutoHyphens/>
        <w:autoSpaceDN w:val="0"/>
        <w:textAlignment w:val="baseline"/>
        <w:rPr>
          <w:szCs w:val="22"/>
          <w:lang w:val="en-GB"/>
        </w:rPr>
      </w:pPr>
      <w:r w:rsidRPr="004F4092">
        <w:rPr>
          <w:szCs w:val="22"/>
          <w:lang w:val="en-GB"/>
        </w:rPr>
        <w:t xml:space="preserve">The Business Use Case describes how the Consumer (“Party Connected to the Grid”) can request data and how the Metering Data Responsible sends metered data (consumption and/or production) back to the Consumer in a formalised </w:t>
      </w:r>
      <w:r>
        <w:rPr>
          <w:szCs w:val="22"/>
          <w:lang w:val="en-GB"/>
        </w:rPr>
        <w:t xml:space="preserve">and standardised </w:t>
      </w:r>
      <w:r w:rsidRPr="004F4092">
        <w:rPr>
          <w:szCs w:val="22"/>
          <w:lang w:val="en-GB"/>
        </w:rPr>
        <w:t>way. This allows the Consumer to make use of (commercial) tools and services to present and analyse the data.</w:t>
      </w:r>
    </w:p>
    <w:p w14:paraId="06CBD0EE" w14:textId="77777777" w:rsidR="00C95578" w:rsidRDefault="00C95578" w:rsidP="00C95578">
      <w:pPr>
        <w:suppressAutoHyphens/>
        <w:autoSpaceDN w:val="0"/>
        <w:textAlignment w:val="baseline"/>
        <w:rPr>
          <w:lang w:val="en-GB"/>
        </w:rPr>
      </w:pPr>
      <w:r>
        <w:rPr>
          <w:noProof/>
          <w:lang w:val="en-GB" w:eastAsia="en-GB"/>
        </w:rPr>
        <w:lastRenderedPageBreak/>
        <w:drawing>
          <wp:inline distT="0" distB="0" distL="0" distR="0" wp14:anchorId="21EA5E92" wp14:editId="373AB87E">
            <wp:extent cx="5759450" cy="4512945"/>
            <wp:effectExtent l="0" t="0" r="0" b="1905"/>
            <wp:docPr id="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4512945"/>
                    </a:xfrm>
                    <a:prstGeom prst="rect">
                      <a:avLst/>
                    </a:prstGeom>
                  </pic:spPr>
                </pic:pic>
              </a:graphicData>
            </a:graphic>
          </wp:inline>
        </w:drawing>
      </w:r>
    </w:p>
    <w:p w14:paraId="541ADC1A" w14:textId="77777777" w:rsidR="00C95578" w:rsidRDefault="00C95578" w:rsidP="00C95578">
      <w:pPr>
        <w:spacing w:after="0" w:line="240" w:lineRule="auto"/>
        <w:rPr>
          <w:lang w:val="en-GB"/>
        </w:rPr>
      </w:pPr>
    </w:p>
    <w:p w14:paraId="257AC0A4" w14:textId="77777777" w:rsidR="00C95578" w:rsidRPr="004606C4" w:rsidRDefault="00C95578" w:rsidP="00C95578">
      <w:pPr>
        <w:suppressAutoHyphens/>
        <w:autoSpaceDN w:val="0"/>
        <w:textAlignment w:val="baseline"/>
        <w:rPr>
          <w:lang w:val="en-GB"/>
        </w:rPr>
      </w:pPr>
    </w:p>
    <w:p w14:paraId="713D1C55" w14:textId="77777777" w:rsidR="00C95578" w:rsidRDefault="00C95578" w:rsidP="00C95578">
      <w:pPr>
        <w:pStyle w:val="ListParagraph"/>
        <w:numPr>
          <w:ilvl w:val="0"/>
          <w:numId w:val="29"/>
        </w:numPr>
        <w:suppressAutoHyphens/>
        <w:autoSpaceDN w:val="0"/>
        <w:textAlignment w:val="baseline"/>
        <w:rPr>
          <w:lang w:val="en-GB"/>
        </w:rPr>
      </w:pPr>
      <w:r>
        <w:rPr>
          <w:lang w:val="en-GB"/>
        </w:rPr>
        <w:t>Share my data</w:t>
      </w:r>
    </w:p>
    <w:p w14:paraId="5074D107" w14:textId="77777777" w:rsidR="00C95578" w:rsidRPr="005F77D7" w:rsidRDefault="00C95578" w:rsidP="00C95578">
      <w:pPr>
        <w:jc w:val="both"/>
        <w:rPr>
          <w:rFonts w:cstheme="minorHAnsi"/>
          <w:lang w:val="en-US"/>
        </w:rPr>
      </w:pPr>
      <w:r w:rsidRPr="005F77D7">
        <w:rPr>
          <w:rFonts w:cstheme="minorHAnsi"/>
          <w:lang w:val="en-US"/>
        </w:rPr>
        <w:t>This Business Use Case describes how an agreement between the customer and a second/third party can be found in order for the customer to benefit new services after giving access to his</w:t>
      </w:r>
      <w:r>
        <w:rPr>
          <w:rFonts w:cstheme="minorHAnsi"/>
          <w:lang w:val="en-US"/>
        </w:rPr>
        <w:t>/her</w:t>
      </w:r>
      <w:r w:rsidRPr="005F77D7">
        <w:rPr>
          <w:rFonts w:cstheme="minorHAnsi"/>
          <w:lang w:val="en-US"/>
        </w:rPr>
        <w:t xml:space="preserve"> personal </w:t>
      </w:r>
      <w:r>
        <w:rPr>
          <w:rFonts w:cstheme="minorHAnsi"/>
          <w:lang w:val="en-US"/>
        </w:rPr>
        <w:t xml:space="preserve">energy </w:t>
      </w:r>
      <w:r w:rsidRPr="005F77D7">
        <w:rPr>
          <w:rFonts w:cstheme="minorHAnsi"/>
          <w:lang w:val="en-US"/>
        </w:rPr>
        <w:t>data to the second/third party.</w:t>
      </w:r>
    </w:p>
    <w:p w14:paraId="2C83E5F7" w14:textId="77777777" w:rsidR="00C95578" w:rsidRDefault="00C95578" w:rsidP="00C95578">
      <w:pPr>
        <w:suppressAutoHyphens/>
        <w:autoSpaceDN w:val="0"/>
        <w:textAlignment w:val="baseline"/>
        <w:rPr>
          <w:lang w:val="en-US"/>
        </w:rPr>
      </w:pPr>
      <w:r w:rsidRPr="006E2EA5">
        <w:rPr>
          <w:rFonts w:eastAsia="Times New Roman"/>
          <w:noProof/>
          <w:color w:val="000000"/>
          <w:lang w:val="en-GB" w:eastAsia="en-GB"/>
        </w:rPr>
        <w:lastRenderedPageBreak/>
        <w:drawing>
          <wp:inline distT="0" distB="0" distL="0" distR="0" wp14:anchorId="62C48F1D" wp14:editId="29B34778">
            <wp:extent cx="5715000" cy="4552950"/>
            <wp:effectExtent l="0" t="0" r="0" b="0"/>
            <wp:docPr id="5" name="{59BF3B2A-1FA8-4116-B210-F5AD50B50109}" descr="Share my data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BF3B2A-1FA8-4116-B210-F5AD50B50109}" descr="Share my data - overview"/>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715000" cy="4552950"/>
                    </a:xfrm>
                    <a:prstGeom prst="rect">
                      <a:avLst/>
                    </a:prstGeom>
                    <a:noFill/>
                    <a:ln>
                      <a:noFill/>
                    </a:ln>
                  </pic:spPr>
                </pic:pic>
              </a:graphicData>
            </a:graphic>
          </wp:inline>
        </w:drawing>
      </w:r>
    </w:p>
    <w:p w14:paraId="5B1A0833" w14:textId="77777777" w:rsidR="00C95578" w:rsidRDefault="00C95578" w:rsidP="00C95578">
      <w:pPr>
        <w:suppressAutoHyphens/>
        <w:autoSpaceDN w:val="0"/>
        <w:textAlignment w:val="baseline"/>
        <w:rPr>
          <w:lang w:val="en-US"/>
        </w:rPr>
      </w:pPr>
    </w:p>
    <w:p w14:paraId="10B973B5" w14:textId="77777777" w:rsidR="00C95578" w:rsidRDefault="00C95578" w:rsidP="00C95578">
      <w:pPr>
        <w:spacing w:after="0" w:line="240" w:lineRule="auto"/>
        <w:rPr>
          <w:lang w:val="en-US"/>
        </w:rPr>
      </w:pPr>
      <w:r>
        <w:rPr>
          <w:lang w:val="en-US"/>
        </w:rPr>
        <w:br w:type="page"/>
      </w:r>
    </w:p>
    <w:p w14:paraId="35989ECD" w14:textId="77777777" w:rsidR="00C95578" w:rsidRPr="00CE5C79" w:rsidRDefault="00C95578" w:rsidP="00C95578">
      <w:pPr>
        <w:suppressAutoHyphens/>
        <w:autoSpaceDN w:val="0"/>
        <w:textAlignment w:val="baseline"/>
        <w:rPr>
          <w:lang w:val="en-US"/>
        </w:rPr>
      </w:pPr>
    </w:p>
    <w:p w14:paraId="3B10F338" w14:textId="77777777" w:rsidR="00C95578" w:rsidRDefault="00C95578" w:rsidP="00C95578">
      <w:pPr>
        <w:pStyle w:val="ListParagraph"/>
        <w:numPr>
          <w:ilvl w:val="0"/>
          <w:numId w:val="29"/>
        </w:numPr>
        <w:suppressAutoHyphens/>
        <w:autoSpaceDN w:val="0"/>
        <w:textAlignment w:val="baseline"/>
        <w:rPr>
          <w:lang w:val="en-GB"/>
        </w:rPr>
      </w:pPr>
      <w:r>
        <w:rPr>
          <w:lang w:val="en-GB"/>
        </w:rPr>
        <w:t>Revoke consent</w:t>
      </w:r>
    </w:p>
    <w:p w14:paraId="144F6F88" w14:textId="77777777" w:rsidR="00C95578" w:rsidRDefault="00C95578" w:rsidP="00C95578">
      <w:pPr>
        <w:jc w:val="both"/>
        <w:rPr>
          <w:rFonts w:eastAsia="Times New Roman"/>
          <w:color w:val="000000"/>
          <w:lang w:val="en-GB"/>
        </w:rPr>
      </w:pPr>
      <w:r w:rsidRPr="00FE326A">
        <w:rPr>
          <w:rFonts w:eastAsia="Times New Roman"/>
          <w:color w:val="000000"/>
          <w:lang w:val="en-GB"/>
        </w:rPr>
        <w:t xml:space="preserve">This </w:t>
      </w:r>
      <w:r>
        <w:rPr>
          <w:rFonts w:eastAsia="Times New Roman"/>
          <w:color w:val="000000"/>
          <w:lang w:val="en-GB"/>
        </w:rPr>
        <w:t>Business U</w:t>
      </w:r>
      <w:r w:rsidRPr="00FE326A">
        <w:rPr>
          <w:rFonts w:eastAsia="Times New Roman"/>
          <w:color w:val="000000"/>
          <w:lang w:val="en-GB"/>
        </w:rPr>
        <w:t xml:space="preserve">se </w:t>
      </w:r>
      <w:r>
        <w:rPr>
          <w:rFonts w:eastAsia="Times New Roman"/>
          <w:color w:val="000000"/>
          <w:lang w:val="en-GB"/>
        </w:rPr>
        <w:t>C</w:t>
      </w:r>
      <w:r w:rsidRPr="00FE326A">
        <w:rPr>
          <w:rFonts w:eastAsia="Times New Roman"/>
          <w:color w:val="000000"/>
          <w:lang w:val="en-GB"/>
        </w:rPr>
        <w:t>ase describes the journey a customer should take to revoke his/her consent</w:t>
      </w:r>
      <w:r>
        <w:rPr>
          <w:rFonts w:eastAsia="Times New Roman"/>
          <w:color w:val="000000"/>
          <w:lang w:val="en-GB"/>
        </w:rPr>
        <w:t xml:space="preserve"> given to a second/third party to access his/her personal energy data.</w:t>
      </w:r>
    </w:p>
    <w:p w14:paraId="4676731F" w14:textId="77777777" w:rsidR="00C95578" w:rsidRDefault="00C95578" w:rsidP="00C95578">
      <w:pPr>
        <w:jc w:val="both"/>
        <w:rPr>
          <w:rFonts w:cstheme="minorHAnsi"/>
          <w:lang w:val="en-GB"/>
        </w:rPr>
      </w:pPr>
      <w:r w:rsidRPr="00FE326A">
        <w:rPr>
          <w:noProof/>
          <w:lang w:val="en-GB" w:eastAsia="en-GB"/>
        </w:rPr>
        <w:drawing>
          <wp:inline distT="0" distB="0" distL="0" distR="0" wp14:anchorId="5DC98AB4" wp14:editId="17DAF981">
            <wp:extent cx="5476875" cy="5438775"/>
            <wp:effectExtent l="0" t="0" r="9525" b="9525"/>
            <wp:docPr id="6" name="{CD897BF4-5F7E-42c6-8D40-501A00C33C63}" descr="Scenario1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897BF4-5F7E-42c6-8D40-501A00C33C63}" descr="Scenario1 - overview"/>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5476875" cy="5438775"/>
                    </a:xfrm>
                    <a:prstGeom prst="rect">
                      <a:avLst/>
                    </a:prstGeom>
                    <a:noFill/>
                    <a:ln>
                      <a:noFill/>
                    </a:ln>
                  </pic:spPr>
                </pic:pic>
              </a:graphicData>
            </a:graphic>
          </wp:inline>
        </w:drawing>
      </w:r>
    </w:p>
    <w:p w14:paraId="492B4760" w14:textId="77777777" w:rsidR="00C95578" w:rsidRDefault="00C95578" w:rsidP="00C95578">
      <w:pPr>
        <w:spacing w:after="0" w:line="240" w:lineRule="auto"/>
        <w:rPr>
          <w:rFonts w:cstheme="minorHAnsi"/>
          <w:lang w:val="en-GB"/>
        </w:rPr>
      </w:pPr>
      <w:r>
        <w:rPr>
          <w:rFonts w:cstheme="minorHAnsi"/>
          <w:lang w:val="en-GB"/>
        </w:rPr>
        <w:br w:type="page"/>
      </w:r>
    </w:p>
    <w:p w14:paraId="1C5E02EC" w14:textId="77777777" w:rsidR="00C95578" w:rsidRPr="00B756FC" w:rsidRDefault="00C95578" w:rsidP="00C95578">
      <w:pPr>
        <w:jc w:val="both"/>
        <w:rPr>
          <w:rFonts w:cstheme="minorHAnsi"/>
          <w:lang w:val="en-GB"/>
        </w:rPr>
      </w:pPr>
    </w:p>
    <w:p w14:paraId="5DA2D16D" w14:textId="77777777" w:rsidR="00C95578" w:rsidRDefault="00C95578" w:rsidP="00C95578">
      <w:pPr>
        <w:pStyle w:val="ListParagraph"/>
        <w:numPr>
          <w:ilvl w:val="0"/>
          <w:numId w:val="29"/>
        </w:numPr>
        <w:suppressAutoHyphens/>
        <w:autoSpaceDN w:val="0"/>
        <w:textAlignment w:val="baseline"/>
        <w:rPr>
          <w:lang w:val="en-GB"/>
        </w:rPr>
      </w:pPr>
      <w:r>
        <w:rPr>
          <w:lang w:val="en-GB"/>
        </w:rPr>
        <w:t>Terminate service</w:t>
      </w:r>
    </w:p>
    <w:p w14:paraId="4A493D8E" w14:textId="77777777" w:rsidR="00C95578" w:rsidRDefault="00C95578" w:rsidP="00C95578">
      <w:pPr>
        <w:rPr>
          <w:rFonts w:cstheme="minorHAnsi"/>
          <w:lang w:val="en-GB"/>
        </w:rPr>
      </w:pPr>
      <w:r w:rsidRPr="00B756FC">
        <w:rPr>
          <w:rFonts w:cstheme="minorHAnsi"/>
          <w:lang w:val="en-GB"/>
        </w:rPr>
        <w:t xml:space="preserve">In addition to </w:t>
      </w:r>
      <w:r>
        <w:rPr>
          <w:rFonts w:cstheme="minorHAnsi"/>
          <w:lang w:val="en-GB"/>
        </w:rPr>
        <w:t>“Revoke consent”</w:t>
      </w:r>
      <w:r w:rsidRPr="00B756FC">
        <w:rPr>
          <w:rFonts w:cstheme="minorHAnsi"/>
          <w:lang w:val="en-GB"/>
        </w:rPr>
        <w:t xml:space="preserve">, </w:t>
      </w:r>
      <w:r>
        <w:rPr>
          <w:rFonts w:cstheme="minorHAnsi"/>
          <w:lang w:val="en-GB"/>
        </w:rPr>
        <w:t xml:space="preserve">this Business Use Case </w:t>
      </w:r>
      <w:r w:rsidRPr="00B756FC">
        <w:rPr>
          <w:rFonts w:cstheme="minorHAnsi"/>
          <w:lang w:val="en-GB"/>
        </w:rPr>
        <w:t xml:space="preserve">considers </w:t>
      </w:r>
      <w:r>
        <w:rPr>
          <w:rFonts w:cstheme="minorHAnsi"/>
          <w:lang w:val="en-GB"/>
        </w:rPr>
        <w:t xml:space="preserve">the journey of a customer who does not </w:t>
      </w:r>
      <w:r w:rsidRPr="00B756FC">
        <w:rPr>
          <w:rFonts w:cstheme="minorHAnsi"/>
          <w:lang w:val="en-GB"/>
        </w:rPr>
        <w:t>want to benefit from the service any</w:t>
      </w:r>
      <w:r>
        <w:rPr>
          <w:rFonts w:cstheme="minorHAnsi"/>
          <w:lang w:val="en-GB"/>
        </w:rPr>
        <w:t xml:space="preserve"> </w:t>
      </w:r>
      <w:r w:rsidRPr="00B756FC">
        <w:rPr>
          <w:rFonts w:cstheme="minorHAnsi"/>
          <w:lang w:val="en-GB"/>
        </w:rPr>
        <w:t>more</w:t>
      </w:r>
      <w:r>
        <w:rPr>
          <w:rFonts w:cstheme="minorHAnsi"/>
          <w:lang w:val="en-GB"/>
        </w:rPr>
        <w:t>. In this case</w:t>
      </w:r>
      <w:r w:rsidRPr="00B756FC">
        <w:rPr>
          <w:rFonts w:cstheme="minorHAnsi"/>
          <w:lang w:val="en-GB"/>
        </w:rPr>
        <w:t xml:space="preserve">, </w:t>
      </w:r>
      <w:r>
        <w:rPr>
          <w:rFonts w:cstheme="minorHAnsi"/>
          <w:lang w:val="en-GB"/>
        </w:rPr>
        <w:t xml:space="preserve">it is </w:t>
      </w:r>
      <w:r w:rsidRPr="00B756FC">
        <w:rPr>
          <w:rFonts w:cstheme="minorHAnsi"/>
          <w:lang w:val="en-GB"/>
        </w:rPr>
        <w:t>assume</w:t>
      </w:r>
      <w:r>
        <w:rPr>
          <w:rFonts w:cstheme="minorHAnsi"/>
          <w:lang w:val="en-GB"/>
        </w:rPr>
        <w:t>d</w:t>
      </w:r>
      <w:r w:rsidRPr="00B756FC">
        <w:rPr>
          <w:rFonts w:cstheme="minorHAnsi"/>
          <w:lang w:val="en-GB"/>
        </w:rPr>
        <w:t xml:space="preserve"> that </w:t>
      </w:r>
      <w:r>
        <w:rPr>
          <w:rFonts w:cstheme="minorHAnsi"/>
          <w:lang w:val="en-GB"/>
        </w:rPr>
        <w:t xml:space="preserve">the customer </w:t>
      </w:r>
      <w:r w:rsidRPr="00B756FC">
        <w:rPr>
          <w:rFonts w:cstheme="minorHAnsi"/>
          <w:lang w:val="en-GB"/>
        </w:rPr>
        <w:t>implicitly expects the data collection and the data access to stop.</w:t>
      </w:r>
    </w:p>
    <w:p w14:paraId="76CB4D32" w14:textId="77777777" w:rsidR="00C95578" w:rsidRDefault="00C95578" w:rsidP="00C95578">
      <w:pPr>
        <w:rPr>
          <w:lang w:val="en-GB"/>
        </w:rPr>
      </w:pPr>
    </w:p>
    <w:p w14:paraId="705D647B" w14:textId="77777777" w:rsidR="00C95578" w:rsidRPr="00CE5C79" w:rsidRDefault="00C95578" w:rsidP="00C95578">
      <w:pPr>
        <w:rPr>
          <w:lang w:val="en-GB"/>
        </w:rPr>
      </w:pPr>
      <w:r w:rsidRPr="00FE326A">
        <w:rPr>
          <w:noProof/>
          <w:lang w:val="en-GB" w:eastAsia="en-GB"/>
        </w:rPr>
        <w:drawing>
          <wp:inline distT="0" distB="0" distL="0" distR="0" wp14:anchorId="46A282BC" wp14:editId="637E3AF7">
            <wp:extent cx="5419725" cy="5762625"/>
            <wp:effectExtent l="0" t="0" r="9525" b="9525"/>
            <wp:docPr id="7" name="{4EE01A0A-968C-4398-BE95-73B28F833CA7}" descr="Scenario1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E01A0A-968C-4398-BE95-73B28F833CA7}" descr="Scenario1 - overview"/>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419725" cy="5762625"/>
                    </a:xfrm>
                    <a:prstGeom prst="rect">
                      <a:avLst/>
                    </a:prstGeom>
                    <a:noFill/>
                    <a:ln>
                      <a:noFill/>
                    </a:ln>
                  </pic:spPr>
                </pic:pic>
              </a:graphicData>
            </a:graphic>
          </wp:inline>
        </w:drawing>
      </w:r>
    </w:p>
    <w:p w14:paraId="49E4C37C" w14:textId="77777777" w:rsidR="00C95578" w:rsidRDefault="00C95578" w:rsidP="00C95578">
      <w:pPr>
        <w:pStyle w:val="NoSpacing"/>
        <w:rPr>
          <w:lang w:val="en-GB"/>
        </w:rPr>
      </w:pPr>
    </w:p>
    <w:p w14:paraId="682C4F2D" w14:textId="77777777" w:rsidR="00C95578" w:rsidRDefault="00C95578" w:rsidP="00C95578">
      <w:pPr>
        <w:pStyle w:val="NoSpacing"/>
        <w:rPr>
          <w:lang w:val="en-GB"/>
        </w:rPr>
      </w:pPr>
      <w:r>
        <w:rPr>
          <w:lang w:val="en-GB"/>
        </w:rPr>
        <w:t>In this phase of business use case description, following issues were identified:</w:t>
      </w:r>
    </w:p>
    <w:p w14:paraId="06E6571B" w14:textId="77777777" w:rsidR="00C95578" w:rsidRDefault="00C95578" w:rsidP="00C95578">
      <w:pPr>
        <w:pStyle w:val="NoSpacing"/>
        <w:rPr>
          <w:lang w:val="en-GB"/>
        </w:rPr>
      </w:pPr>
    </w:p>
    <w:p w14:paraId="4DA84D8C" w14:textId="77777777" w:rsidR="00C95578" w:rsidRDefault="00C95578" w:rsidP="00C95578">
      <w:pPr>
        <w:pStyle w:val="NoSpacing"/>
        <w:numPr>
          <w:ilvl w:val="0"/>
          <w:numId w:val="29"/>
        </w:numPr>
        <w:rPr>
          <w:lang w:val="en-GB"/>
        </w:rPr>
      </w:pPr>
      <w:r>
        <w:rPr>
          <w:lang w:val="en-GB"/>
        </w:rPr>
        <w:t>The link between customer and metering point(s) must be precise and up to date for all described business use cases to be efficient, in particularly the information of customers move out should be propagated to concerned parties without delay to avoid undue data access or deny.</w:t>
      </w:r>
    </w:p>
    <w:p w14:paraId="4CB3CA2D" w14:textId="77777777" w:rsidR="00C95578" w:rsidRDefault="00C95578" w:rsidP="00C95578">
      <w:pPr>
        <w:pStyle w:val="NoSpacing"/>
        <w:ind w:left="720"/>
        <w:rPr>
          <w:lang w:val="en-GB"/>
        </w:rPr>
      </w:pPr>
    </w:p>
    <w:p w14:paraId="286003C7" w14:textId="77777777" w:rsidR="00C95578" w:rsidRPr="00451AF7" w:rsidRDefault="00C95578" w:rsidP="00C95578">
      <w:pPr>
        <w:numPr>
          <w:ilvl w:val="0"/>
          <w:numId w:val="29"/>
        </w:numPr>
        <w:suppressAutoHyphens/>
        <w:autoSpaceDN w:val="0"/>
        <w:jc w:val="both"/>
        <w:textAlignment w:val="baseline"/>
        <w:rPr>
          <w:lang w:val="en-US"/>
        </w:rPr>
      </w:pPr>
      <w:r>
        <w:rPr>
          <w:lang w:val="en-US"/>
        </w:rPr>
        <w:lastRenderedPageBreak/>
        <w:t>The link between a Customer and a Metering point is key for the reliable functioning of data access and consent management. In some cases the link is not obvious, e.g. to which person(s) from a family or friends living in the same house should the link be done? Should the link be done with the landlord and the occupants or both? An additional insight is needed to clarify these questions.</w:t>
      </w:r>
    </w:p>
    <w:p w14:paraId="067DC48F" w14:textId="77777777" w:rsidR="00C95578" w:rsidRDefault="00C95578" w:rsidP="00C95578">
      <w:pPr>
        <w:pStyle w:val="NoSpacing"/>
        <w:numPr>
          <w:ilvl w:val="0"/>
          <w:numId w:val="29"/>
        </w:numPr>
        <w:rPr>
          <w:lang w:val="en-GB"/>
        </w:rPr>
      </w:pPr>
      <w:r>
        <w:rPr>
          <w:lang w:val="en-GB"/>
        </w:rPr>
        <w:t>When a customer revokes a consent for data sharing, or terminates a service basing on her/his energy data access, then both consent registry responsible and the 2</w:t>
      </w:r>
      <w:r w:rsidRPr="00161C48">
        <w:rPr>
          <w:vertAlign w:val="superscript"/>
          <w:lang w:val="en-GB"/>
        </w:rPr>
        <w:t>nd</w:t>
      </w:r>
      <w:r>
        <w:rPr>
          <w:lang w:val="en-GB"/>
        </w:rPr>
        <w:t>/3</w:t>
      </w:r>
      <w:r w:rsidRPr="00161C48">
        <w:rPr>
          <w:vertAlign w:val="superscript"/>
          <w:lang w:val="en-GB"/>
        </w:rPr>
        <w:t>rd</w:t>
      </w:r>
      <w:r>
        <w:rPr>
          <w:lang w:val="en-GB"/>
        </w:rPr>
        <w:t xml:space="preserve"> Party which provides the service should inform themselves respectively of the service/data sharing ending. If they don’t, they are likely to face unwanted situations such as, for the 2</w:t>
      </w:r>
      <w:r w:rsidRPr="00207AA7">
        <w:rPr>
          <w:vertAlign w:val="superscript"/>
          <w:lang w:val="en-GB"/>
        </w:rPr>
        <w:t>nd</w:t>
      </w:r>
      <w:r>
        <w:rPr>
          <w:lang w:val="en-GB"/>
        </w:rPr>
        <w:t xml:space="preserve"> /3</w:t>
      </w:r>
      <w:r w:rsidRPr="00207AA7">
        <w:rPr>
          <w:vertAlign w:val="superscript"/>
          <w:lang w:val="en-GB"/>
        </w:rPr>
        <w:t>rd</w:t>
      </w:r>
      <w:r>
        <w:rPr>
          <w:lang w:val="en-GB"/>
        </w:rPr>
        <w:t xml:space="preserve"> Party, having technical access to a person who is no longer client of its services, or trying to deliver a service while the customer has already cut access to his/her energy data.</w:t>
      </w:r>
    </w:p>
    <w:p w14:paraId="08A5F844" w14:textId="77777777" w:rsidR="00C95578" w:rsidRPr="00C95578" w:rsidRDefault="00C95578" w:rsidP="00C95578">
      <w:pPr>
        <w:rPr>
          <w:lang w:val="en-GB"/>
        </w:rPr>
      </w:pPr>
    </w:p>
    <w:p w14:paraId="66103572" w14:textId="4295152C" w:rsidR="00C10A26" w:rsidRDefault="00C10A26" w:rsidP="00C10A26">
      <w:pPr>
        <w:pStyle w:val="Heading4"/>
        <w:numPr>
          <w:ilvl w:val="3"/>
          <w:numId w:val="13"/>
        </w:numPr>
        <w:spacing w:after="120"/>
      </w:pPr>
      <w:bookmarkStart w:id="304" w:name="_Toc533261864"/>
      <w:r>
        <w:t>Data models and data exchange</w:t>
      </w:r>
      <w:bookmarkEnd w:id="304"/>
    </w:p>
    <w:p w14:paraId="4A82851D" w14:textId="77777777" w:rsidR="001644C5" w:rsidRPr="001644C5" w:rsidRDefault="001644C5" w:rsidP="001644C5">
      <w:pPr>
        <w:suppressAutoHyphens/>
        <w:autoSpaceDN w:val="0"/>
        <w:jc w:val="both"/>
        <w:textAlignment w:val="baseline"/>
        <w:rPr>
          <w:lang w:val="en-US"/>
        </w:rPr>
      </w:pPr>
      <w:r w:rsidRPr="001644C5">
        <w:rPr>
          <w:b/>
          <w:lang w:val="en-US"/>
        </w:rPr>
        <w:t>What could be the minimum requirements to make targeted data interoperable</w:t>
      </w:r>
      <w:r w:rsidRPr="001644C5">
        <w:rPr>
          <w:lang w:val="en-US"/>
        </w:rPr>
        <w:t xml:space="preserve">, to enable a cost-effective way to link with and convert to all existing models and pave the way to reaching and maintaining interoperability? </w:t>
      </w:r>
    </w:p>
    <w:p w14:paraId="0C397956" w14:textId="77777777" w:rsidR="001644C5" w:rsidRPr="001644C5" w:rsidRDefault="001644C5" w:rsidP="001644C5">
      <w:pPr>
        <w:jc w:val="both"/>
        <w:rPr>
          <w:lang w:val="en-GB"/>
        </w:rPr>
      </w:pPr>
      <w:r w:rsidRPr="001644C5">
        <w:rPr>
          <w:lang w:val="en-GB"/>
        </w:rPr>
        <w:t xml:space="preserve">The existing material from EG1 report “My Energy Data” and </w:t>
      </w:r>
      <w:proofErr w:type="spellStart"/>
      <w:r w:rsidRPr="001644C5">
        <w:rPr>
          <w:lang w:val="en-GB"/>
        </w:rPr>
        <w:t>Tractebel</w:t>
      </w:r>
      <w:proofErr w:type="spellEnd"/>
      <w:r w:rsidRPr="001644C5">
        <w:rPr>
          <w:lang w:val="en-GB"/>
        </w:rPr>
        <w:t xml:space="preserve"> report on energy data has been used to identify of a core data model that could be used as semantic pivotal meta-model for interoperability. More data standards are existing that cover the data for the concerning Use Cases. We have identified the CIM data elements here as an example</w:t>
      </w:r>
      <w:r w:rsidRPr="001644C5" w:rsidDel="00801F2C">
        <w:rPr>
          <w:lang w:val="en-GB"/>
        </w:rPr>
        <w:t xml:space="preserve"> </w:t>
      </w:r>
    </w:p>
    <w:p w14:paraId="13F09CE1" w14:textId="77777777" w:rsidR="001644C5" w:rsidRPr="001644C5" w:rsidRDefault="001644C5" w:rsidP="001644C5">
      <w:pPr>
        <w:suppressAutoHyphens/>
        <w:autoSpaceDN w:val="0"/>
        <w:jc w:val="both"/>
        <w:textAlignment w:val="baseline"/>
        <w:rPr>
          <w:lang w:val="en-US"/>
        </w:rPr>
      </w:pPr>
      <w:r w:rsidRPr="001644C5">
        <w:rPr>
          <w:lang w:val="en-US"/>
        </w:rPr>
        <w:t>Two categories have been identified to download and share data: Master Data and Metering Data.</w:t>
      </w:r>
    </w:p>
    <w:p w14:paraId="10BF25E7" w14:textId="77777777" w:rsidR="001644C5" w:rsidRPr="001644C5" w:rsidRDefault="001644C5" w:rsidP="001644C5">
      <w:pPr>
        <w:spacing w:after="0" w:line="240" w:lineRule="auto"/>
      </w:pPr>
      <w:r w:rsidRPr="001644C5">
        <w:rPr>
          <w:lang w:val="en-US"/>
        </w:rPr>
        <w:t>Master Data:</w:t>
      </w:r>
    </w:p>
    <w:p w14:paraId="101DD14F" w14:textId="77777777" w:rsidR="001644C5" w:rsidRPr="001644C5" w:rsidRDefault="001644C5" w:rsidP="001644C5">
      <w:pPr>
        <w:numPr>
          <w:ilvl w:val="0"/>
          <w:numId w:val="37"/>
        </w:numPr>
        <w:suppressAutoHyphens/>
        <w:autoSpaceDN w:val="0"/>
        <w:spacing w:after="0" w:line="240" w:lineRule="auto"/>
        <w:textAlignment w:val="baseline"/>
        <w:rPr>
          <w:color w:val="00000A"/>
          <w:kern w:val="3"/>
        </w:rPr>
      </w:pPr>
      <w:r w:rsidRPr="001644C5">
        <w:rPr>
          <w:color w:val="00000A"/>
          <w:kern w:val="3"/>
          <w:lang w:val="en-GB"/>
        </w:rPr>
        <w:t>Consumer identifier</w:t>
      </w:r>
    </w:p>
    <w:p w14:paraId="62F374A0" w14:textId="77777777" w:rsidR="001644C5" w:rsidRPr="001644C5" w:rsidRDefault="001644C5" w:rsidP="001644C5">
      <w:pPr>
        <w:spacing w:after="0" w:line="240" w:lineRule="auto"/>
        <w:ind w:left="720"/>
        <w:rPr>
          <w:sz w:val="20"/>
        </w:rPr>
      </w:pPr>
      <w:r w:rsidRPr="001644C5">
        <w:rPr>
          <w:sz w:val="20"/>
        </w:rPr>
        <w:t>CIM equivalent: MyEnergyData_MarketDocument/MarketParticipant/mRID</w:t>
      </w:r>
    </w:p>
    <w:p w14:paraId="30CE0F6B" w14:textId="77777777" w:rsidR="001644C5" w:rsidRPr="001644C5" w:rsidRDefault="001644C5" w:rsidP="001644C5">
      <w:pPr>
        <w:numPr>
          <w:ilvl w:val="0"/>
          <w:numId w:val="37"/>
        </w:numPr>
        <w:suppressAutoHyphens/>
        <w:autoSpaceDN w:val="0"/>
        <w:spacing w:after="0" w:line="240" w:lineRule="auto"/>
        <w:textAlignment w:val="baseline"/>
        <w:rPr>
          <w:color w:val="00000A"/>
          <w:kern w:val="3"/>
        </w:rPr>
      </w:pPr>
      <w:r w:rsidRPr="001644C5">
        <w:rPr>
          <w:color w:val="00000A"/>
          <w:kern w:val="3"/>
          <w:lang w:val="en-GB"/>
        </w:rPr>
        <w:t>Metering point identifier</w:t>
      </w:r>
    </w:p>
    <w:p w14:paraId="6C3247EC" w14:textId="77777777" w:rsidR="001644C5" w:rsidRPr="001644C5" w:rsidRDefault="001644C5" w:rsidP="001644C5">
      <w:pPr>
        <w:spacing w:after="0" w:line="240" w:lineRule="auto"/>
        <w:ind w:left="720"/>
        <w:rPr>
          <w:sz w:val="20"/>
        </w:rPr>
      </w:pPr>
      <w:r w:rsidRPr="001644C5">
        <w:rPr>
          <w:sz w:val="20"/>
          <w:lang w:val="en-GB"/>
        </w:rPr>
        <w:t>CIM equivalent: MyEnergyData_MarketDocument/TimeSeries/MarketEvaluationPoint/mRID</w:t>
      </w:r>
    </w:p>
    <w:p w14:paraId="5FFE1095" w14:textId="77777777" w:rsidR="001644C5" w:rsidRPr="001644C5" w:rsidRDefault="001644C5" w:rsidP="001644C5">
      <w:pPr>
        <w:numPr>
          <w:ilvl w:val="0"/>
          <w:numId w:val="37"/>
        </w:numPr>
        <w:suppressAutoHyphens/>
        <w:autoSpaceDN w:val="0"/>
        <w:spacing w:after="0" w:line="240" w:lineRule="auto"/>
        <w:textAlignment w:val="baseline"/>
        <w:rPr>
          <w:lang w:val="en-GB"/>
        </w:rPr>
      </w:pPr>
      <w:r w:rsidRPr="001644C5">
        <w:rPr>
          <w:lang w:val="en-GB"/>
        </w:rPr>
        <w:t>Optional: customer information, location information (customer, metering point)</w:t>
      </w:r>
    </w:p>
    <w:p w14:paraId="30CF1B0B" w14:textId="77777777" w:rsidR="001644C5" w:rsidRPr="001644C5" w:rsidRDefault="001644C5" w:rsidP="001644C5">
      <w:pPr>
        <w:spacing w:after="0" w:line="240" w:lineRule="auto"/>
        <w:ind w:left="720"/>
        <w:rPr>
          <w:sz w:val="20"/>
        </w:rPr>
      </w:pPr>
      <w:r w:rsidRPr="001644C5">
        <w:rPr>
          <w:sz w:val="20"/>
          <w:lang w:val="en-GB"/>
        </w:rPr>
        <w:t>CIM equivalent: MyEnergyData_MarketDocument/TimeSeries/MarketEvaluationPoint/UsagePointLocation/geoInfoReference</w:t>
      </w:r>
    </w:p>
    <w:p w14:paraId="144D3297" w14:textId="77777777" w:rsidR="001644C5" w:rsidRPr="001644C5" w:rsidRDefault="001644C5" w:rsidP="001644C5">
      <w:pPr>
        <w:spacing w:after="0" w:line="240" w:lineRule="auto"/>
        <w:rPr>
          <w:sz w:val="20"/>
          <w:lang w:val="en-GB"/>
        </w:rPr>
      </w:pPr>
    </w:p>
    <w:p w14:paraId="709A8A2B" w14:textId="77777777" w:rsidR="001644C5" w:rsidRPr="001644C5" w:rsidRDefault="001644C5" w:rsidP="001644C5">
      <w:pPr>
        <w:spacing w:after="0" w:line="240" w:lineRule="auto"/>
      </w:pPr>
      <w:r w:rsidRPr="001644C5">
        <w:rPr>
          <w:lang w:val="en-US"/>
        </w:rPr>
        <w:t>Meter Data:</w:t>
      </w:r>
    </w:p>
    <w:p w14:paraId="73B3801D" w14:textId="77777777" w:rsidR="001644C5" w:rsidRPr="001644C5" w:rsidRDefault="001644C5" w:rsidP="001644C5">
      <w:pPr>
        <w:numPr>
          <w:ilvl w:val="0"/>
          <w:numId w:val="37"/>
        </w:numPr>
        <w:suppressAutoHyphens/>
        <w:autoSpaceDN w:val="0"/>
        <w:spacing w:after="0" w:line="240" w:lineRule="auto"/>
        <w:textAlignment w:val="baseline"/>
        <w:rPr>
          <w:color w:val="00000A"/>
          <w:kern w:val="3"/>
        </w:rPr>
      </w:pPr>
      <w:r w:rsidRPr="001644C5">
        <w:rPr>
          <w:color w:val="00000A"/>
          <w:kern w:val="3"/>
          <w:lang w:val="en-GB"/>
        </w:rPr>
        <w:t>Metering point identifier</w:t>
      </w:r>
    </w:p>
    <w:p w14:paraId="4846D956" w14:textId="77777777" w:rsidR="001644C5" w:rsidRPr="001644C5" w:rsidRDefault="001644C5" w:rsidP="001644C5">
      <w:pPr>
        <w:spacing w:after="0" w:line="240" w:lineRule="auto"/>
        <w:ind w:left="720"/>
        <w:rPr>
          <w:sz w:val="20"/>
        </w:rPr>
      </w:pPr>
      <w:bookmarkStart w:id="305" w:name="__DdeLink__5622_1794891004"/>
      <w:r w:rsidRPr="001644C5">
        <w:rPr>
          <w:sz w:val="20"/>
          <w:lang w:val="en-GB"/>
        </w:rPr>
        <w:t>CIM equivalent: MyEnergyData_MarketDocument/TimeSeries/</w:t>
      </w:r>
      <w:bookmarkEnd w:id="305"/>
      <w:r w:rsidRPr="001644C5">
        <w:rPr>
          <w:sz w:val="20"/>
          <w:lang w:val="en-GB"/>
        </w:rPr>
        <w:t>MarketEvaluationPoint/mRID</w:t>
      </w:r>
    </w:p>
    <w:p w14:paraId="610C9B5F" w14:textId="77777777" w:rsidR="001644C5" w:rsidRPr="001644C5" w:rsidRDefault="001644C5" w:rsidP="001644C5">
      <w:pPr>
        <w:numPr>
          <w:ilvl w:val="0"/>
          <w:numId w:val="37"/>
        </w:numPr>
        <w:suppressAutoHyphens/>
        <w:autoSpaceDN w:val="0"/>
        <w:spacing w:after="0" w:line="240" w:lineRule="auto"/>
        <w:textAlignment w:val="baseline"/>
        <w:rPr>
          <w:color w:val="00000A"/>
          <w:kern w:val="3"/>
          <w:lang w:val="en-GB"/>
        </w:rPr>
      </w:pPr>
      <w:r w:rsidRPr="001644C5">
        <w:rPr>
          <w:color w:val="00000A"/>
          <w:kern w:val="3"/>
          <w:lang w:val="en-GB"/>
        </w:rPr>
        <w:t>Type of energy (electricity, gas)</w:t>
      </w:r>
    </w:p>
    <w:p w14:paraId="3BB17144" w14:textId="77777777" w:rsidR="001644C5" w:rsidRPr="001644C5" w:rsidRDefault="001644C5" w:rsidP="001644C5">
      <w:pPr>
        <w:spacing w:after="0" w:line="240" w:lineRule="auto"/>
        <w:ind w:left="720"/>
        <w:rPr>
          <w:sz w:val="20"/>
        </w:rPr>
      </w:pPr>
      <w:r w:rsidRPr="001644C5">
        <w:rPr>
          <w:sz w:val="20"/>
          <w:lang w:val="en-GB"/>
        </w:rPr>
        <w:t xml:space="preserve">CIM equivalent: </w:t>
      </w:r>
      <w:proofErr w:type="spellStart"/>
      <w:r w:rsidRPr="001644C5">
        <w:rPr>
          <w:sz w:val="20"/>
          <w:lang w:val="en-GB"/>
        </w:rPr>
        <w:t>MyEnergyData_MarketDocument</w:t>
      </w:r>
      <w:proofErr w:type="spellEnd"/>
      <w:r w:rsidRPr="001644C5">
        <w:rPr>
          <w:sz w:val="20"/>
          <w:lang w:val="en-GB"/>
        </w:rPr>
        <w:t>/</w:t>
      </w:r>
      <w:proofErr w:type="spellStart"/>
      <w:r w:rsidRPr="001644C5">
        <w:rPr>
          <w:sz w:val="20"/>
          <w:lang w:val="en-GB"/>
        </w:rPr>
        <w:t>TimeSeries</w:t>
      </w:r>
      <w:proofErr w:type="spellEnd"/>
      <w:r w:rsidRPr="001644C5">
        <w:rPr>
          <w:sz w:val="20"/>
          <w:lang w:val="en-GB"/>
        </w:rPr>
        <w:t>/product</w:t>
      </w:r>
    </w:p>
    <w:p w14:paraId="21530ACE" w14:textId="77777777" w:rsidR="001644C5" w:rsidRPr="001644C5" w:rsidRDefault="001644C5" w:rsidP="001644C5">
      <w:pPr>
        <w:numPr>
          <w:ilvl w:val="0"/>
          <w:numId w:val="37"/>
        </w:numPr>
        <w:suppressAutoHyphens/>
        <w:autoSpaceDN w:val="0"/>
        <w:spacing w:after="0" w:line="240" w:lineRule="auto"/>
        <w:textAlignment w:val="baseline"/>
        <w:rPr>
          <w:color w:val="00000A"/>
          <w:kern w:val="3"/>
        </w:rPr>
      </w:pPr>
      <w:r w:rsidRPr="001644C5">
        <w:rPr>
          <w:color w:val="00000A"/>
          <w:kern w:val="3"/>
          <w:lang w:val="en-GB"/>
        </w:rPr>
        <w:t>Metering period</w:t>
      </w:r>
    </w:p>
    <w:p w14:paraId="09D25728" w14:textId="77777777" w:rsidR="001644C5" w:rsidRPr="001644C5" w:rsidRDefault="001644C5" w:rsidP="001644C5">
      <w:pPr>
        <w:spacing w:after="0" w:line="240" w:lineRule="auto"/>
        <w:ind w:left="720"/>
        <w:rPr>
          <w:sz w:val="20"/>
        </w:rPr>
      </w:pPr>
      <w:r w:rsidRPr="001644C5">
        <w:rPr>
          <w:sz w:val="20"/>
        </w:rPr>
        <w:t>CIM equivalent: MyEnergyData_MarketDocument/Time_Period/timeInterval</w:t>
      </w:r>
    </w:p>
    <w:p w14:paraId="65665699" w14:textId="77777777" w:rsidR="001644C5" w:rsidRPr="001644C5" w:rsidRDefault="001644C5" w:rsidP="001644C5">
      <w:pPr>
        <w:numPr>
          <w:ilvl w:val="0"/>
          <w:numId w:val="37"/>
        </w:numPr>
        <w:suppressAutoHyphens/>
        <w:autoSpaceDN w:val="0"/>
        <w:spacing w:after="0" w:line="240" w:lineRule="auto"/>
        <w:textAlignment w:val="baseline"/>
        <w:rPr>
          <w:color w:val="00000A"/>
          <w:kern w:val="3"/>
        </w:rPr>
      </w:pPr>
      <w:r w:rsidRPr="001644C5">
        <w:rPr>
          <w:color w:val="00000A"/>
          <w:kern w:val="3"/>
          <w:lang w:val="en-GB"/>
        </w:rPr>
        <w:t>Metering interval</w:t>
      </w:r>
    </w:p>
    <w:p w14:paraId="221506D9" w14:textId="77777777" w:rsidR="001644C5" w:rsidRPr="001644C5" w:rsidRDefault="001644C5" w:rsidP="001644C5">
      <w:pPr>
        <w:spacing w:after="0" w:line="240" w:lineRule="auto"/>
        <w:ind w:left="720"/>
        <w:rPr>
          <w:sz w:val="20"/>
        </w:rPr>
      </w:pPr>
      <w:r w:rsidRPr="001644C5">
        <w:rPr>
          <w:sz w:val="20"/>
          <w:lang w:val="en-GB"/>
        </w:rPr>
        <w:t>CIM equivalent: MyEnergyData_MarketDocument/TimeSeries/Series_Period/timeInterval</w:t>
      </w:r>
    </w:p>
    <w:p w14:paraId="1BB46F74" w14:textId="77777777" w:rsidR="001644C5" w:rsidRPr="001644C5" w:rsidRDefault="001644C5" w:rsidP="001644C5">
      <w:pPr>
        <w:numPr>
          <w:ilvl w:val="0"/>
          <w:numId w:val="37"/>
        </w:numPr>
        <w:suppressAutoHyphens/>
        <w:autoSpaceDN w:val="0"/>
        <w:spacing w:after="0" w:line="240" w:lineRule="auto"/>
        <w:textAlignment w:val="baseline"/>
        <w:rPr>
          <w:color w:val="00000A"/>
          <w:kern w:val="3"/>
        </w:rPr>
      </w:pPr>
      <w:r w:rsidRPr="001644C5">
        <w:rPr>
          <w:color w:val="00000A"/>
          <w:kern w:val="3"/>
          <w:lang w:val="en-GB"/>
        </w:rPr>
        <w:t>Unit of measure</w:t>
      </w:r>
    </w:p>
    <w:p w14:paraId="74246697" w14:textId="77777777" w:rsidR="001644C5" w:rsidRPr="001644C5" w:rsidRDefault="001644C5" w:rsidP="001644C5">
      <w:pPr>
        <w:spacing w:after="0" w:line="240" w:lineRule="auto"/>
        <w:ind w:left="720"/>
        <w:rPr>
          <w:sz w:val="20"/>
          <w:lang w:val="en-GB"/>
        </w:rPr>
      </w:pPr>
      <w:r w:rsidRPr="001644C5">
        <w:rPr>
          <w:sz w:val="20"/>
          <w:lang w:val="en-GB"/>
        </w:rPr>
        <w:t xml:space="preserve">CIM equivalent: </w:t>
      </w:r>
      <w:proofErr w:type="spellStart"/>
      <w:r w:rsidRPr="001644C5">
        <w:rPr>
          <w:sz w:val="20"/>
          <w:lang w:val="en-GB"/>
        </w:rPr>
        <w:t>MyEnergyData_MarketDocument</w:t>
      </w:r>
      <w:proofErr w:type="spellEnd"/>
      <w:r w:rsidRPr="001644C5">
        <w:rPr>
          <w:sz w:val="20"/>
          <w:lang w:val="en-GB"/>
        </w:rPr>
        <w:t>/</w:t>
      </w:r>
      <w:proofErr w:type="spellStart"/>
      <w:r w:rsidRPr="001644C5">
        <w:rPr>
          <w:sz w:val="20"/>
          <w:lang w:val="en-GB"/>
        </w:rPr>
        <w:t>TimeSeries</w:t>
      </w:r>
      <w:proofErr w:type="spellEnd"/>
      <w:r w:rsidRPr="001644C5">
        <w:rPr>
          <w:sz w:val="20"/>
          <w:lang w:val="en-GB"/>
        </w:rPr>
        <w:t>/</w:t>
      </w:r>
      <w:proofErr w:type="spellStart"/>
      <w:r w:rsidRPr="001644C5">
        <w:rPr>
          <w:sz w:val="20"/>
          <w:lang w:val="en-GB"/>
        </w:rPr>
        <w:t>Measure_Unit</w:t>
      </w:r>
      <w:proofErr w:type="spellEnd"/>
      <w:r w:rsidRPr="001644C5">
        <w:rPr>
          <w:sz w:val="20"/>
          <w:lang w:val="en-GB"/>
        </w:rPr>
        <w:t>/name</w:t>
      </w:r>
    </w:p>
    <w:p w14:paraId="3380AA90" w14:textId="77777777" w:rsidR="001644C5" w:rsidRPr="001644C5" w:rsidRDefault="001644C5" w:rsidP="001644C5">
      <w:pPr>
        <w:numPr>
          <w:ilvl w:val="0"/>
          <w:numId w:val="37"/>
        </w:numPr>
        <w:suppressAutoHyphens/>
        <w:autoSpaceDN w:val="0"/>
        <w:spacing w:after="0" w:line="240" w:lineRule="auto"/>
        <w:textAlignment w:val="baseline"/>
        <w:rPr>
          <w:color w:val="00000A"/>
          <w:kern w:val="3"/>
        </w:rPr>
      </w:pPr>
      <w:r w:rsidRPr="001644C5">
        <w:rPr>
          <w:color w:val="00000A"/>
          <w:kern w:val="3"/>
          <w:lang w:val="en-GB"/>
        </w:rPr>
        <w:t>Energy quantity (time series)</w:t>
      </w:r>
    </w:p>
    <w:p w14:paraId="6A1C2BF4" w14:textId="77777777" w:rsidR="001644C5" w:rsidRPr="001644C5" w:rsidRDefault="001644C5" w:rsidP="001644C5">
      <w:pPr>
        <w:spacing w:after="0" w:line="240" w:lineRule="auto"/>
        <w:ind w:left="720"/>
        <w:rPr>
          <w:sz w:val="20"/>
        </w:rPr>
      </w:pPr>
      <w:r w:rsidRPr="001644C5">
        <w:rPr>
          <w:sz w:val="20"/>
        </w:rPr>
        <w:t>CIM equivalent: MyEnergyData_MarketDocument/TimeSeries/Series_Period/Point/Quantity/quantity</w:t>
      </w:r>
    </w:p>
    <w:p w14:paraId="55CF2115" w14:textId="77777777" w:rsidR="001644C5" w:rsidRPr="001644C5" w:rsidRDefault="001644C5" w:rsidP="001644C5">
      <w:pPr>
        <w:numPr>
          <w:ilvl w:val="0"/>
          <w:numId w:val="37"/>
        </w:numPr>
        <w:suppressAutoHyphens/>
        <w:autoSpaceDN w:val="0"/>
        <w:spacing w:after="0" w:line="240" w:lineRule="auto"/>
        <w:textAlignment w:val="baseline"/>
      </w:pPr>
      <w:r w:rsidRPr="001644C5">
        <w:rPr>
          <w:lang w:val="en-GB"/>
        </w:rPr>
        <w:t>Optional: quality indicators</w:t>
      </w:r>
    </w:p>
    <w:p w14:paraId="0634FC9F" w14:textId="77777777" w:rsidR="001644C5" w:rsidRPr="001644C5" w:rsidRDefault="001644C5" w:rsidP="001644C5">
      <w:pPr>
        <w:spacing w:after="0" w:line="240" w:lineRule="auto"/>
        <w:ind w:left="720"/>
        <w:rPr>
          <w:sz w:val="20"/>
        </w:rPr>
      </w:pPr>
      <w:r w:rsidRPr="001644C5">
        <w:rPr>
          <w:sz w:val="20"/>
          <w:lang w:val="en-GB"/>
        </w:rPr>
        <w:t>CIM equivalent: MyEnergyData_MarketDocument/TimeSeries/Series_Period/Point/Quantity/quality</w:t>
      </w:r>
    </w:p>
    <w:p w14:paraId="39CC1902" w14:textId="77777777" w:rsidR="001644C5" w:rsidRPr="001644C5" w:rsidRDefault="001644C5" w:rsidP="001644C5">
      <w:pPr>
        <w:spacing w:after="0" w:line="240" w:lineRule="auto"/>
        <w:rPr>
          <w:lang w:val="en-US"/>
        </w:rPr>
      </w:pPr>
    </w:p>
    <w:p w14:paraId="65E832DF" w14:textId="77777777" w:rsidR="001644C5" w:rsidRPr="001644C5" w:rsidRDefault="001644C5" w:rsidP="001644C5">
      <w:pPr>
        <w:spacing w:after="0" w:line="240" w:lineRule="auto"/>
        <w:rPr>
          <w:lang w:val="en-US"/>
        </w:rPr>
      </w:pPr>
      <w:r w:rsidRPr="001644C5">
        <w:rPr>
          <w:lang w:val="en-US"/>
        </w:rPr>
        <w:lastRenderedPageBreak/>
        <w:t>In the business use case “share my data”, the consent is required by the Metered Data Responsible for GDPR compliance, so that it can give access to the specified energy data for a 2</w:t>
      </w:r>
      <w:r w:rsidRPr="001644C5">
        <w:rPr>
          <w:vertAlign w:val="superscript"/>
          <w:lang w:val="en-US"/>
        </w:rPr>
        <w:t>nd</w:t>
      </w:r>
      <w:r w:rsidRPr="001644C5">
        <w:rPr>
          <w:lang w:val="en-US"/>
        </w:rPr>
        <w:t>/3</w:t>
      </w:r>
      <w:r w:rsidRPr="001644C5">
        <w:rPr>
          <w:vertAlign w:val="superscript"/>
          <w:lang w:val="en-US"/>
        </w:rPr>
        <w:t>rd</w:t>
      </w:r>
      <w:r w:rsidRPr="001644C5">
        <w:rPr>
          <w:lang w:val="en-US"/>
        </w:rPr>
        <w:t xml:space="preserve"> Party. </w:t>
      </w:r>
    </w:p>
    <w:p w14:paraId="17F48A5A" w14:textId="77777777" w:rsidR="001644C5" w:rsidRPr="001644C5" w:rsidRDefault="001644C5" w:rsidP="001644C5">
      <w:pPr>
        <w:spacing w:after="0" w:line="240" w:lineRule="auto"/>
        <w:rPr>
          <w:lang w:val="en-US"/>
        </w:rPr>
      </w:pPr>
      <w:r w:rsidRPr="001644C5">
        <w:rPr>
          <w:lang w:val="en-US"/>
        </w:rPr>
        <w:t>The 2</w:t>
      </w:r>
      <w:r w:rsidRPr="001644C5">
        <w:rPr>
          <w:vertAlign w:val="superscript"/>
          <w:lang w:val="en-US"/>
        </w:rPr>
        <w:t>nd</w:t>
      </w:r>
      <w:r w:rsidRPr="001644C5">
        <w:rPr>
          <w:lang w:val="en-US"/>
        </w:rPr>
        <w:t>/3</w:t>
      </w:r>
      <w:r w:rsidRPr="001644C5">
        <w:rPr>
          <w:vertAlign w:val="superscript"/>
          <w:lang w:val="en-US"/>
        </w:rPr>
        <w:t>rd</w:t>
      </w:r>
      <w:r w:rsidRPr="001644C5">
        <w:rPr>
          <w:lang w:val="en-US"/>
        </w:rPr>
        <w:t xml:space="preserve"> Party which offers a service based on energy data is itself a data processor, as it uses customer energy data for service delivery. It needs therefore to also collect itself an explicit consent from the customer for its specific purpose(s).</w:t>
      </w:r>
    </w:p>
    <w:p w14:paraId="1B6C6368" w14:textId="77777777" w:rsidR="001644C5" w:rsidRPr="001644C5" w:rsidRDefault="001644C5" w:rsidP="001644C5">
      <w:pPr>
        <w:spacing w:after="0" w:line="240" w:lineRule="auto"/>
        <w:rPr>
          <w:lang w:val="en-US"/>
        </w:rPr>
      </w:pPr>
      <w:r w:rsidRPr="001644C5">
        <w:rPr>
          <w:lang w:val="en-US"/>
        </w:rPr>
        <w:t>For the Metered Data Responsible, the minimum data required for a “data access” consent is following:</w:t>
      </w:r>
    </w:p>
    <w:p w14:paraId="282E55EA" w14:textId="77777777" w:rsidR="001644C5" w:rsidRPr="001644C5" w:rsidRDefault="001644C5" w:rsidP="001644C5">
      <w:pPr>
        <w:numPr>
          <w:ilvl w:val="0"/>
          <w:numId w:val="30"/>
        </w:numPr>
        <w:spacing w:after="0" w:line="240" w:lineRule="auto"/>
        <w:rPr>
          <w:lang w:val="en-GB"/>
        </w:rPr>
      </w:pPr>
      <w:r w:rsidRPr="001644C5">
        <w:rPr>
          <w:lang w:val="en-GB"/>
        </w:rPr>
        <w:t>Customer identifier</w:t>
      </w:r>
    </w:p>
    <w:p w14:paraId="14A2B047" w14:textId="77777777" w:rsidR="001644C5" w:rsidRPr="001644C5" w:rsidRDefault="001644C5" w:rsidP="001644C5">
      <w:pPr>
        <w:numPr>
          <w:ilvl w:val="0"/>
          <w:numId w:val="30"/>
        </w:numPr>
        <w:spacing w:after="0" w:line="240" w:lineRule="auto"/>
        <w:rPr>
          <w:lang w:val="en-GB"/>
        </w:rPr>
      </w:pPr>
      <w:r w:rsidRPr="001644C5">
        <w:rPr>
          <w:lang w:val="en-GB"/>
        </w:rPr>
        <w:t>Metering point identifier</w:t>
      </w:r>
    </w:p>
    <w:p w14:paraId="40514519" w14:textId="77777777" w:rsidR="001644C5" w:rsidRPr="001644C5" w:rsidRDefault="001644C5" w:rsidP="001644C5">
      <w:pPr>
        <w:numPr>
          <w:ilvl w:val="0"/>
          <w:numId w:val="30"/>
        </w:numPr>
        <w:spacing w:after="0" w:line="240" w:lineRule="auto"/>
        <w:rPr>
          <w:lang w:val="en-GB"/>
        </w:rPr>
      </w:pPr>
      <w:r w:rsidRPr="001644C5">
        <w:rPr>
          <w:lang w:val="en-GB"/>
        </w:rPr>
        <w:t>2</w:t>
      </w:r>
      <w:r w:rsidRPr="001644C5">
        <w:rPr>
          <w:vertAlign w:val="superscript"/>
          <w:lang w:val="en-GB"/>
        </w:rPr>
        <w:t>nd</w:t>
      </w:r>
      <w:r w:rsidRPr="001644C5">
        <w:rPr>
          <w:lang w:val="en-GB"/>
        </w:rPr>
        <w:t>/3</w:t>
      </w:r>
      <w:r w:rsidRPr="001644C5">
        <w:rPr>
          <w:vertAlign w:val="superscript"/>
          <w:lang w:val="en-GB"/>
        </w:rPr>
        <w:t>rd</w:t>
      </w:r>
      <w:r w:rsidRPr="001644C5">
        <w:rPr>
          <w:lang w:val="en-GB"/>
        </w:rPr>
        <w:t xml:space="preserve"> Party to which consent is given</w:t>
      </w:r>
    </w:p>
    <w:p w14:paraId="08D4977E" w14:textId="77777777" w:rsidR="001644C5" w:rsidRPr="001644C5" w:rsidRDefault="001644C5" w:rsidP="001644C5">
      <w:pPr>
        <w:numPr>
          <w:ilvl w:val="0"/>
          <w:numId w:val="30"/>
        </w:numPr>
        <w:spacing w:after="0" w:line="240" w:lineRule="auto"/>
        <w:rPr>
          <w:lang w:val="en-GB"/>
        </w:rPr>
      </w:pPr>
      <w:r w:rsidRPr="001644C5">
        <w:rPr>
          <w:lang w:val="en-GB"/>
        </w:rPr>
        <w:t>List of data to which access has been consented - related to meter data and master data</w:t>
      </w:r>
    </w:p>
    <w:p w14:paraId="5EC47438" w14:textId="77777777" w:rsidR="001644C5" w:rsidRPr="001644C5" w:rsidRDefault="001644C5" w:rsidP="001644C5">
      <w:pPr>
        <w:numPr>
          <w:ilvl w:val="0"/>
          <w:numId w:val="30"/>
        </w:numPr>
        <w:spacing w:after="0" w:line="240" w:lineRule="auto"/>
        <w:rPr>
          <w:lang w:val="en-GB"/>
        </w:rPr>
      </w:pPr>
      <w:r w:rsidRPr="001644C5">
        <w:rPr>
          <w:lang w:val="en-GB"/>
        </w:rPr>
        <w:t>Validity (starting, ending)</w:t>
      </w:r>
    </w:p>
    <w:p w14:paraId="31AB7212" w14:textId="77777777" w:rsidR="001644C5" w:rsidRPr="001644C5" w:rsidRDefault="001644C5" w:rsidP="001644C5">
      <w:pPr>
        <w:numPr>
          <w:ilvl w:val="0"/>
          <w:numId w:val="30"/>
        </w:numPr>
        <w:spacing w:after="0" w:line="240" w:lineRule="auto"/>
        <w:rPr>
          <w:lang w:val="en-GB"/>
        </w:rPr>
      </w:pPr>
      <w:r w:rsidRPr="001644C5">
        <w:rPr>
          <w:lang w:val="en-GB"/>
        </w:rPr>
        <w:t>Optional: storage and utilization conditions (time limitation)</w:t>
      </w:r>
    </w:p>
    <w:p w14:paraId="1943DB55" w14:textId="77777777" w:rsidR="001644C5" w:rsidRPr="001644C5" w:rsidRDefault="001644C5" w:rsidP="001644C5">
      <w:pPr>
        <w:spacing w:after="0" w:line="240" w:lineRule="auto"/>
        <w:ind w:left="360"/>
        <w:rPr>
          <w:lang w:val="en-GB"/>
        </w:rPr>
      </w:pPr>
    </w:p>
    <w:p w14:paraId="5B420798" w14:textId="77777777" w:rsidR="001644C5" w:rsidRPr="001644C5" w:rsidRDefault="001644C5" w:rsidP="001644C5">
      <w:pPr>
        <w:suppressAutoHyphens/>
        <w:autoSpaceDN w:val="0"/>
        <w:jc w:val="both"/>
        <w:textAlignment w:val="baseline"/>
        <w:rPr>
          <w:lang w:val="en-US"/>
        </w:rPr>
      </w:pPr>
      <w:r w:rsidRPr="001644C5">
        <w:rPr>
          <w:lang w:val="en-US"/>
        </w:rPr>
        <w:t>In this phase of minimum core data model definition, following issues were identified:</w:t>
      </w:r>
    </w:p>
    <w:p w14:paraId="0F2A4982" w14:textId="77777777" w:rsidR="001644C5" w:rsidRPr="001644C5" w:rsidRDefault="001644C5" w:rsidP="001644C5">
      <w:pPr>
        <w:numPr>
          <w:ilvl w:val="0"/>
          <w:numId w:val="31"/>
        </w:numPr>
        <w:suppressAutoHyphens/>
        <w:autoSpaceDN w:val="0"/>
        <w:jc w:val="both"/>
        <w:textAlignment w:val="baseline"/>
        <w:rPr>
          <w:lang w:val="en-US"/>
        </w:rPr>
      </w:pPr>
      <w:r w:rsidRPr="001644C5">
        <w:rPr>
          <w:lang w:val="en-US"/>
        </w:rPr>
        <w:t xml:space="preserve">Locational information: a generic shared ontology would be welcomed. It should clarify the distinction between metering point, delivering point and customer location, as these terms may lead to a confusion when it comes to locational information. Besides, there are usually consistent national representations to design a postal address, but no European standard is available to characterize an address in the same way. </w:t>
      </w:r>
    </w:p>
    <w:p w14:paraId="6452BA4B" w14:textId="77777777" w:rsidR="001644C5" w:rsidRPr="001644C5" w:rsidRDefault="001644C5" w:rsidP="001644C5">
      <w:pPr>
        <w:numPr>
          <w:ilvl w:val="0"/>
          <w:numId w:val="31"/>
        </w:numPr>
        <w:suppressAutoHyphens/>
        <w:autoSpaceDN w:val="0"/>
        <w:jc w:val="both"/>
        <w:textAlignment w:val="baseline"/>
        <w:rPr>
          <w:lang w:val="en-US"/>
        </w:rPr>
      </w:pPr>
      <w:r w:rsidRPr="001644C5">
        <w:rPr>
          <w:lang w:val="en-US"/>
        </w:rPr>
        <w:t>Time series: there are several syntactic solutions to describe time series (timestamps, interval blocks, …) and many other meta data to characterize it. Which metadata may be considered as minimum requirements (e.g.: timestamp, quality, …)</w:t>
      </w:r>
    </w:p>
    <w:p w14:paraId="54C1C6AE" w14:textId="77777777" w:rsidR="001644C5" w:rsidRPr="001644C5" w:rsidRDefault="001644C5" w:rsidP="001644C5">
      <w:pPr>
        <w:numPr>
          <w:ilvl w:val="0"/>
          <w:numId w:val="31"/>
        </w:numPr>
        <w:suppressAutoHyphens/>
        <w:autoSpaceDN w:val="0"/>
        <w:jc w:val="both"/>
        <w:textAlignment w:val="baseline"/>
        <w:rPr>
          <w:lang w:val="en-US"/>
        </w:rPr>
      </w:pPr>
      <w:r w:rsidRPr="001644C5">
        <w:rPr>
          <w:lang w:val="en-US"/>
        </w:rPr>
        <w:t xml:space="preserve">Metering data: the workgroup concentrated on consumption/generation data. May other physical values also be measured and shared: power peak, reactive power, voltage, </w:t>
      </w:r>
      <w:proofErr w:type="gramStart"/>
      <w:r w:rsidRPr="001644C5">
        <w:rPr>
          <w:lang w:val="en-US"/>
        </w:rPr>
        <w:t>… ?</w:t>
      </w:r>
      <w:proofErr w:type="gramEnd"/>
    </w:p>
    <w:p w14:paraId="28EFEF95" w14:textId="77777777" w:rsidR="001644C5" w:rsidRPr="001644C5" w:rsidRDefault="001644C5" w:rsidP="001644C5">
      <w:pPr>
        <w:suppressAutoHyphens/>
        <w:autoSpaceDN w:val="0"/>
        <w:jc w:val="both"/>
        <w:textAlignment w:val="baseline"/>
        <w:rPr>
          <w:lang w:val="en-US"/>
        </w:rPr>
      </w:pPr>
      <w:r w:rsidRPr="001644C5">
        <w:rPr>
          <w:lang w:val="en-US"/>
        </w:rPr>
        <w:t>To conclude on data models, the adoption of one single reference ontology as an interoperable data model is very welcomed, so that each data format may be translated to the reference model.</w:t>
      </w:r>
    </w:p>
    <w:p w14:paraId="33C804D9" w14:textId="77777777" w:rsidR="00C95578" w:rsidRPr="00C95578" w:rsidRDefault="00C95578" w:rsidP="00C95578">
      <w:pPr>
        <w:suppressAutoHyphens/>
        <w:autoSpaceDN w:val="0"/>
        <w:jc w:val="both"/>
        <w:textAlignment w:val="baseline"/>
        <w:rPr>
          <w:lang w:val="en-US"/>
        </w:rPr>
      </w:pPr>
    </w:p>
    <w:p w14:paraId="479E05C8" w14:textId="13C055AB" w:rsidR="00AF2F8F" w:rsidRPr="00AF2F8F" w:rsidRDefault="00AF2F8F" w:rsidP="005F46EB">
      <w:pPr>
        <w:pStyle w:val="Heading3"/>
        <w:numPr>
          <w:ilvl w:val="2"/>
          <w:numId w:val="13"/>
        </w:numPr>
        <w:spacing w:after="120"/>
        <w:rPr>
          <w:lang w:val="en-GB"/>
        </w:rPr>
      </w:pPr>
      <w:bookmarkStart w:id="306" w:name="_Toc533261865"/>
      <w:r w:rsidRPr="00AF2F8F">
        <w:rPr>
          <w:lang w:val="en-GB"/>
        </w:rPr>
        <w:t xml:space="preserve">Conclusions on </w:t>
      </w:r>
      <w:r>
        <w:rPr>
          <w:lang w:val="en-GB"/>
        </w:rPr>
        <w:t>processes supporting new and emerging services</w:t>
      </w:r>
      <w:bookmarkEnd w:id="306"/>
    </w:p>
    <w:p w14:paraId="4A3EBB57" w14:textId="77777777" w:rsidR="00C95578" w:rsidRPr="00EE42D4" w:rsidRDefault="00C95578" w:rsidP="00C95578">
      <w:pPr>
        <w:suppressAutoHyphens/>
        <w:autoSpaceDN w:val="0"/>
        <w:jc w:val="both"/>
        <w:textAlignment w:val="baseline"/>
        <w:rPr>
          <w:lang w:val="en-US"/>
        </w:rPr>
      </w:pPr>
      <w:r w:rsidRPr="00EE42D4">
        <w:rPr>
          <w:lang w:val="en-US"/>
        </w:rPr>
        <w:t xml:space="preserve">The recommendations that </w:t>
      </w:r>
      <w:r>
        <w:rPr>
          <w:lang w:val="en-US"/>
        </w:rPr>
        <w:t>are applicable</w:t>
      </w:r>
      <w:r w:rsidRPr="00EE42D4">
        <w:rPr>
          <w:lang w:val="en-US"/>
        </w:rPr>
        <w:t xml:space="preserve"> for </w:t>
      </w:r>
      <w:r>
        <w:rPr>
          <w:lang w:val="en-US"/>
        </w:rPr>
        <w:t>M</w:t>
      </w:r>
      <w:r w:rsidRPr="00EE42D4">
        <w:rPr>
          <w:lang w:val="en-US"/>
        </w:rPr>
        <w:t xml:space="preserve">ember </w:t>
      </w:r>
      <w:r>
        <w:rPr>
          <w:lang w:val="en-US"/>
        </w:rPr>
        <w:t>S</w:t>
      </w:r>
      <w:r w:rsidRPr="00EE42D4">
        <w:rPr>
          <w:lang w:val="en-US"/>
        </w:rPr>
        <w:t>tates are following:</w:t>
      </w:r>
    </w:p>
    <w:p w14:paraId="63A5C900" w14:textId="77777777" w:rsidR="00C95578" w:rsidRPr="003575D5" w:rsidRDefault="00C95578" w:rsidP="00C95578">
      <w:pPr>
        <w:suppressAutoHyphens/>
        <w:autoSpaceDN w:val="0"/>
        <w:jc w:val="both"/>
        <w:textAlignment w:val="baseline"/>
        <w:rPr>
          <w:b/>
          <w:lang w:val="en-US"/>
        </w:rPr>
      </w:pPr>
      <w:r w:rsidRPr="003575D5">
        <w:rPr>
          <w:b/>
          <w:lang w:val="en-US"/>
        </w:rPr>
        <w:t>1. Clearly identify and define all required roles to describe general business use cases and allow all possible implementations at system level.</w:t>
      </w:r>
    </w:p>
    <w:p w14:paraId="6A1D0161" w14:textId="77777777" w:rsidR="00C95578" w:rsidRDefault="00C95578" w:rsidP="00C95578">
      <w:pPr>
        <w:pStyle w:val="NoSpacing"/>
        <w:rPr>
          <w:lang w:val="en-US"/>
        </w:rPr>
      </w:pPr>
      <w:r>
        <w:rPr>
          <w:lang w:val="en-US"/>
        </w:rPr>
        <w:t>There is an existing Role Model on European level available to start new business use cases description: the Harmonized Electricity Market Role Model (aforementioned in §4.3).</w:t>
      </w:r>
    </w:p>
    <w:p w14:paraId="75CAD428" w14:textId="77777777" w:rsidR="00C95578" w:rsidRDefault="00C95578" w:rsidP="00C95578">
      <w:pPr>
        <w:pStyle w:val="NoSpacing"/>
        <w:rPr>
          <w:lang w:val="en-US"/>
        </w:rPr>
      </w:pPr>
      <w:r>
        <w:rPr>
          <w:lang w:val="en-US"/>
        </w:rPr>
        <w:t xml:space="preserve"> </w:t>
      </w:r>
    </w:p>
    <w:p w14:paraId="0139EE48" w14:textId="77777777" w:rsidR="00C95578" w:rsidRPr="00D26434" w:rsidRDefault="00C95578" w:rsidP="00C95578">
      <w:pPr>
        <w:pStyle w:val="NoSpacing"/>
        <w:rPr>
          <w:lang w:val="en-US"/>
        </w:rPr>
      </w:pPr>
      <w:r>
        <w:rPr>
          <w:lang w:val="en-US"/>
        </w:rPr>
        <w:t>In the context of emerging services, this existing role model needs to be adapted in order to fit with gas, and new roles will be needed next to existing ones:</w:t>
      </w:r>
    </w:p>
    <w:p w14:paraId="2676FB6D" w14:textId="77777777" w:rsidR="00C95578" w:rsidRDefault="00C95578" w:rsidP="00C95578">
      <w:pPr>
        <w:pStyle w:val="NoSpacing"/>
        <w:numPr>
          <w:ilvl w:val="0"/>
          <w:numId w:val="32"/>
        </w:numPr>
        <w:rPr>
          <w:lang w:val="en-US"/>
        </w:rPr>
      </w:pPr>
      <w:r>
        <w:rPr>
          <w:lang w:val="en-US"/>
        </w:rPr>
        <w:t>A party responsible for customer identification and authentication</w:t>
      </w:r>
    </w:p>
    <w:p w14:paraId="3D985213" w14:textId="77777777" w:rsidR="00C95578" w:rsidRDefault="00C95578" w:rsidP="00C95578">
      <w:pPr>
        <w:pStyle w:val="NoSpacing"/>
        <w:numPr>
          <w:ilvl w:val="0"/>
          <w:numId w:val="32"/>
        </w:numPr>
        <w:rPr>
          <w:lang w:val="en-US"/>
        </w:rPr>
      </w:pPr>
      <w:r>
        <w:rPr>
          <w:lang w:val="en-US"/>
        </w:rPr>
        <w:t>A party responsible for guaranteeing the association between a Customer and a Metering point</w:t>
      </w:r>
    </w:p>
    <w:p w14:paraId="17918134" w14:textId="77777777" w:rsidR="00C95578" w:rsidRDefault="00C95578" w:rsidP="00C95578">
      <w:pPr>
        <w:pStyle w:val="NoSpacing"/>
        <w:numPr>
          <w:ilvl w:val="0"/>
          <w:numId w:val="32"/>
        </w:numPr>
        <w:rPr>
          <w:lang w:val="en-US"/>
        </w:rPr>
      </w:pPr>
      <w:r>
        <w:rPr>
          <w:lang w:val="en-US"/>
        </w:rPr>
        <w:t>A party responsible for the Consent Registry, which manages consents (storage, revocation)</w:t>
      </w:r>
    </w:p>
    <w:p w14:paraId="44165F0A" w14:textId="77777777" w:rsidR="00C95578" w:rsidRDefault="00C95578" w:rsidP="00C95578">
      <w:pPr>
        <w:pStyle w:val="NoSpacing"/>
        <w:numPr>
          <w:ilvl w:val="0"/>
          <w:numId w:val="32"/>
        </w:numPr>
        <w:rPr>
          <w:lang w:val="en-US"/>
        </w:rPr>
      </w:pPr>
      <w:r>
        <w:rPr>
          <w:lang w:val="en-US"/>
        </w:rPr>
        <w:t>A party responsible for sending metered data to authorized third party</w:t>
      </w:r>
    </w:p>
    <w:p w14:paraId="2948D07C" w14:textId="77777777" w:rsidR="00C95578" w:rsidRDefault="00C95578" w:rsidP="00C95578">
      <w:pPr>
        <w:pStyle w:val="NoSpacing"/>
        <w:rPr>
          <w:lang w:val="en-US"/>
        </w:rPr>
      </w:pPr>
    </w:p>
    <w:p w14:paraId="6972F452" w14:textId="77777777" w:rsidR="00C95578" w:rsidRPr="004F4092" w:rsidRDefault="00C95578" w:rsidP="00C95578">
      <w:pPr>
        <w:rPr>
          <w:b/>
          <w:lang w:val="en-GB"/>
        </w:rPr>
      </w:pPr>
      <w:r w:rsidRPr="004F4092">
        <w:rPr>
          <w:lang w:val="en-GB"/>
        </w:rPr>
        <w:lastRenderedPageBreak/>
        <w:t xml:space="preserve">It is important to clearly identify the Customer (“Party connected to the Grid”) and to establish an unambiguous link between he/she and the metering point used for energy supply/generation. The identity and the link should be verified during the contracting phase and checked again when receiving data access requests, as they will prevent undue data accesses. </w:t>
      </w:r>
    </w:p>
    <w:p w14:paraId="7A13CE5E" w14:textId="77777777" w:rsidR="00C95578" w:rsidRPr="004F4092" w:rsidRDefault="00C95578" w:rsidP="00C95578">
      <w:pPr>
        <w:suppressAutoHyphens/>
        <w:autoSpaceDN w:val="0"/>
        <w:jc w:val="both"/>
        <w:textAlignment w:val="baseline"/>
        <w:rPr>
          <w:lang w:val="en-GB"/>
        </w:rPr>
      </w:pPr>
      <w:r w:rsidRPr="004F4092">
        <w:rPr>
          <w:lang w:val="en-GB"/>
        </w:rPr>
        <w:t>It should also be always clear who has access to what data and under which conditions. For instance, there is not always a 1:1 relation between metering point, land lord and actual customer, the link between the customer and the metering point ID must be defined with caution.</w:t>
      </w:r>
    </w:p>
    <w:p w14:paraId="64E0F185" w14:textId="77777777" w:rsidR="00C95578" w:rsidRPr="004F4092" w:rsidRDefault="00C95578" w:rsidP="00C95578">
      <w:pPr>
        <w:rPr>
          <w:b/>
          <w:lang w:val="en-GB"/>
        </w:rPr>
      </w:pPr>
    </w:p>
    <w:p w14:paraId="249E6172" w14:textId="77777777" w:rsidR="00C95578" w:rsidRPr="004F4092" w:rsidRDefault="00C95578" w:rsidP="00C95578">
      <w:pPr>
        <w:suppressAutoHyphens/>
        <w:autoSpaceDN w:val="0"/>
        <w:jc w:val="both"/>
        <w:textAlignment w:val="baseline"/>
        <w:rPr>
          <w:b/>
          <w:lang w:val="en-GB"/>
        </w:rPr>
      </w:pPr>
      <w:r w:rsidRPr="004F4092">
        <w:rPr>
          <w:b/>
          <w:lang w:val="en-GB"/>
        </w:rPr>
        <w:t xml:space="preserve">2. Describe Business Use Cases and do not forget to consider the proper </w:t>
      </w:r>
      <w:r>
        <w:rPr>
          <w:b/>
          <w:lang w:val="en-GB"/>
        </w:rPr>
        <w:t>completion</w:t>
      </w:r>
      <w:r w:rsidRPr="004F4092">
        <w:rPr>
          <w:b/>
          <w:lang w:val="en-GB"/>
        </w:rPr>
        <w:t xml:space="preserve"> of the use cases</w:t>
      </w:r>
    </w:p>
    <w:p w14:paraId="6B0D1BFE" w14:textId="77777777" w:rsidR="00C95578" w:rsidRDefault="00C95578" w:rsidP="00C95578">
      <w:pPr>
        <w:suppressAutoHyphens/>
        <w:autoSpaceDN w:val="0"/>
        <w:jc w:val="both"/>
        <w:textAlignment w:val="baseline"/>
        <w:rPr>
          <w:lang w:val="en-US"/>
        </w:rPr>
      </w:pPr>
      <w:r>
        <w:rPr>
          <w:lang w:val="en-US"/>
        </w:rPr>
        <w:t>Business Use Cases have been described and are available as basic models on European level in the appendix.</w:t>
      </w:r>
    </w:p>
    <w:p w14:paraId="70F7C759" w14:textId="77777777" w:rsidR="00C95578" w:rsidRDefault="00C95578" w:rsidP="00C95578">
      <w:pPr>
        <w:suppressAutoHyphens/>
        <w:autoSpaceDN w:val="0"/>
        <w:jc w:val="both"/>
        <w:textAlignment w:val="baseline"/>
        <w:rPr>
          <w:lang w:val="en-US"/>
        </w:rPr>
      </w:pPr>
      <w:r>
        <w:rPr>
          <w:lang w:val="en-US"/>
        </w:rPr>
        <w:t>The descriptions in Business Uses Cases “download my data” and “share my data” should enable a wide range of implementations which encompass all existing and future system configurations.</w:t>
      </w:r>
    </w:p>
    <w:p w14:paraId="6CA786B5" w14:textId="77777777" w:rsidR="00C95578" w:rsidRPr="004F4092" w:rsidRDefault="00C95578" w:rsidP="00C95578">
      <w:pPr>
        <w:rPr>
          <w:lang w:val="en-GB"/>
        </w:rPr>
      </w:pPr>
      <w:r w:rsidRPr="004F4092">
        <w:rPr>
          <w:lang w:val="en-GB"/>
        </w:rPr>
        <w:t xml:space="preserve">For many applications, customer consent collection has been set in place by data providers in various domains (contact data, house sensor data, mail data, energy data…) to enable controlled data sharing by third parties with respect to GDPR. </w:t>
      </w:r>
    </w:p>
    <w:p w14:paraId="71E7C4D0" w14:textId="77777777" w:rsidR="00C95578" w:rsidRPr="004F4092" w:rsidRDefault="00C95578" w:rsidP="00C95578">
      <w:pPr>
        <w:rPr>
          <w:lang w:val="en-GB"/>
        </w:rPr>
      </w:pPr>
      <w:r>
        <w:rPr>
          <w:lang w:val="en-US"/>
        </w:rPr>
        <w:t>The proper completion and implementation of business use cases are particularly interesting for the energy sector, as these use cases are not fully implemented yet among Member States:</w:t>
      </w:r>
      <w:r>
        <w:rPr>
          <w:lang w:val="en-US"/>
        </w:rPr>
        <w:br/>
        <w:t xml:space="preserve">- </w:t>
      </w:r>
      <w:r w:rsidRPr="004F4092">
        <w:rPr>
          <w:lang w:val="en-GB"/>
        </w:rPr>
        <w:t>If a consent is revoked, all concerned service providers must reliably be informed to handle future activities and GDPR obligations;</w:t>
      </w:r>
      <w:r w:rsidRPr="004F4092">
        <w:rPr>
          <w:lang w:val="en-GB"/>
        </w:rPr>
        <w:br/>
        <w:t>- I</w:t>
      </w:r>
      <w:r w:rsidRPr="00A171A6">
        <w:rPr>
          <w:lang w:val="en-US"/>
        </w:rPr>
        <w:t>f an external service is cancelled, the Consent Registry need to be informed to handle future activities and GDPR obligations. Service termination must propagate consent termination.</w:t>
      </w:r>
    </w:p>
    <w:p w14:paraId="63765187" w14:textId="77777777" w:rsidR="00C95578" w:rsidRPr="004F4092" w:rsidRDefault="00C95578" w:rsidP="00C95578">
      <w:pPr>
        <w:rPr>
          <w:b/>
          <w:lang w:val="en-GB"/>
        </w:rPr>
      </w:pPr>
    </w:p>
    <w:p w14:paraId="4D228C85" w14:textId="77777777" w:rsidR="00C95578" w:rsidRPr="004F4092" w:rsidRDefault="00C95578" w:rsidP="00C95578">
      <w:pPr>
        <w:suppressAutoHyphens/>
        <w:autoSpaceDN w:val="0"/>
        <w:jc w:val="both"/>
        <w:textAlignment w:val="baseline"/>
        <w:rPr>
          <w:b/>
          <w:lang w:val="en-GB"/>
        </w:rPr>
      </w:pPr>
      <w:r w:rsidRPr="004F4092">
        <w:rPr>
          <w:b/>
          <w:lang w:val="en-GB"/>
        </w:rPr>
        <w:t>3. Use a Common Information Model and carefully address practical issues, on all levels; no matter how small they might seem, they could hamper convergence.</w:t>
      </w:r>
    </w:p>
    <w:p w14:paraId="4175BA69" w14:textId="77777777" w:rsidR="00C95578" w:rsidRDefault="00C95578" w:rsidP="00C95578">
      <w:pPr>
        <w:suppressAutoHyphens/>
        <w:autoSpaceDN w:val="0"/>
        <w:jc w:val="both"/>
        <w:textAlignment w:val="baseline"/>
        <w:rPr>
          <w:lang w:val="en-GB"/>
        </w:rPr>
      </w:pPr>
      <w:r>
        <w:rPr>
          <w:lang w:val="en-GB"/>
        </w:rPr>
        <w:t>There is an existing international Common Information Model available: the CIM defined by the IEC</w:t>
      </w:r>
      <w:r>
        <w:rPr>
          <w:rStyle w:val="FootnoteReference"/>
          <w:lang w:val="en-GB"/>
        </w:rPr>
        <w:footnoteReference w:id="21"/>
      </w:r>
      <w:r>
        <w:rPr>
          <w:lang w:val="en-GB"/>
        </w:rPr>
        <w:t xml:space="preserve">. for electricity systems. </w:t>
      </w:r>
      <w:r>
        <w:rPr>
          <w:lang w:val="en-US"/>
        </w:rPr>
        <w:t>It can be reused and easily adapted to fit for purpose, like the inclusion of gas related data.</w:t>
      </w:r>
    </w:p>
    <w:p w14:paraId="5C7D1DCB" w14:textId="77777777" w:rsidR="00C95578" w:rsidRPr="00D431DA" w:rsidRDefault="00C95578" w:rsidP="00C95578">
      <w:pPr>
        <w:suppressAutoHyphens/>
        <w:autoSpaceDN w:val="0"/>
        <w:jc w:val="both"/>
        <w:textAlignment w:val="baseline"/>
        <w:rPr>
          <w:lang w:val="en-US"/>
        </w:rPr>
      </w:pPr>
      <w:r w:rsidRPr="004F4092">
        <w:rPr>
          <w:lang w:val="en-GB"/>
        </w:rPr>
        <w:t xml:space="preserve">The fast growth of emerging services will be possible when  </w:t>
      </w:r>
      <w:r>
        <w:rPr>
          <w:lang w:val="en-US"/>
        </w:rPr>
        <w:t xml:space="preserve">data formats will be based on a common </w:t>
      </w:r>
      <w:r w:rsidRPr="00847D55">
        <w:rPr>
          <w:lang w:val="en-US"/>
        </w:rPr>
        <w:t xml:space="preserve">“reference ontology” </w:t>
      </w:r>
      <w:r>
        <w:rPr>
          <w:lang w:val="en-US"/>
        </w:rPr>
        <w:t xml:space="preserve">which will define univocally a core minimum list of reference terms covering master data (information related to the </w:t>
      </w:r>
      <w:r w:rsidRPr="00847D55">
        <w:rPr>
          <w:lang w:val="en-US"/>
        </w:rPr>
        <w:t>customer</w:t>
      </w:r>
      <w:r>
        <w:rPr>
          <w:lang w:val="en-US"/>
        </w:rPr>
        <w:t>)</w:t>
      </w:r>
      <w:r w:rsidRPr="00847D55">
        <w:rPr>
          <w:lang w:val="en-US"/>
        </w:rPr>
        <w:t xml:space="preserve">, </w:t>
      </w:r>
      <w:r>
        <w:rPr>
          <w:lang w:val="en-US"/>
        </w:rPr>
        <w:t>metering data (information related to the consumption/generation) and consent data (information on the consent for data sharing).</w:t>
      </w:r>
    </w:p>
    <w:p w14:paraId="46ECD1CF" w14:textId="77777777" w:rsidR="00C95578" w:rsidRPr="004F4092" w:rsidRDefault="00C95578" w:rsidP="00C95578">
      <w:pPr>
        <w:rPr>
          <w:b/>
          <w:lang w:val="en-GB"/>
        </w:rPr>
      </w:pPr>
      <w:r w:rsidRPr="004F4092">
        <w:rPr>
          <w:lang w:val="en-GB"/>
        </w:rPr>
        <w:t xml:space="preserve">Reference data relates to common standardized representations: units, time, addresses. There is currently no European standard to characterise an address: a generic shared ontology would be welcomed. This </w:t>
      </w:r>
      <w:r w:rsidRPr="004F4092">
        <w:rPr>
          <w:lang w:val="en-GB"/>
        </w:rPr>
        <w:lastRenderedPageBreak/>
        <w:t>ontology should also be able to integrate the separate notions of “metering point” and “delivery point” – which can both differ in locational terms from the customer location.</w:t>
      </w:r>
    </w:p>
    <w:p w14:paraId="0639BC9B" w14:textId="77777777" w:rsidR="00C95578" w:rsidRPr="006D5F0C" w:rsidRDefault="00C95578" w:rsidP="00C95578">
      <w:pPr>
        <w:suppressAutoHyphens/>
        <w:autoSpaceDN w:val="0"/>
        <w:jc w:val="both"/>
        <w:textAlignment w:val="baseline"/>
        <w:rPr>
          <w:lang w:val="en-GB"/>
        </w:rPr>
      </w:pPr>
      <w:r w:rsidRPr="006D5F0C">
        <w:rPr>
          <w:lang w:val="en-GB"/>
        </w:rPr>
        <w:t xml:space="preserve">There </w:t>
      </w:r>
      <w:proofErr w:type="gramStart"/>
      <w:r>
        <w:rPr>
          <w:lang w:val="en-GB"/>
        </w:rPr>
        <w:t>are  international</w:t>
      </w:r>
      <w:proofErr w:type="gramEnd"/>
      <w:r>
        <w:rPr>
          <w:lang w:val="en-GB"/>
        </w:rPr>
        <w:t xml:space="preserve"> standards for the data models and information exchange: EDIFACT, </w:t>
      </w:r>
      <w:proofErr w:type="spellStart"/>
      <w:r>
        <w:rPr>
          <w:lang w:val="en-GB"/>
        </w:rPr>
        <w:t>ebIX</w:t>
      </w:r>
      <w:proofErr w:type="spellEnd"/>
      <w:r>
        <w:rPr>
          <w:lang w:val="en-GB"/>
        </w:rPr>
        <w:t>, CIM, DLMS/COSEM. They can be used to define data formats applicable for information exchanges.</w:t>
      </w:r>
    </w:p>
    <w:p w14:paraId="700547F1" w14:textId="77777777" w:rsidR="00C95578" w:rsidRDefault="00C95578" w:rsidP="00C95578">
      <w:pPr>
        <w:suppressAutoHyphens/>
        <w:autoSpaceDN w:val="0"/>
        <w:textAlignment w:val="baseline"/>
        <w:rPr>
          <w:lang w:val="en-GB"/>
        </w:rPr>
      </w:pPr>
      <w:r>
        <w:rPr>
          <w:lang w:val="en-GB"/>
        </w:rPr>
        <w:br w:type="page"/>
      </w:r>
    </w:p>
    <w:p w14:paraId="02EADC77" w14:textId="4D52A088" w:rsidR="00847D55" w:rsidRPr="00C95578" w:rsidRDefault="00847D55" w:rsidP="00847D55">
      <w:pPr>
        <w:suppressAutoHyphens/>
        <w:autoSpaceDN w:val="0"/>
        <w:textAlignment w:val="baseline"/>
        <w:rPr>
          <w:lang w:val="en-GB"/>
        </w:rPr>
      </w:pPr>
    </w:p>
    <w:p w14:paraId="2BBA27EA" w14:textId="02B37AE2" w:rsidR="00443302" w:rsidRDefault="00443302">
      <w:pPr>
        <w:spacing w:after="0" w:line="240" w:lineRule="auto"/>
        <w:rPr>
          <w:lang w:val="en-GB"/>
        </w:rPr>
      </w:pPr>
      <w:r>
        <w:rPr>
          <w:lang w:val="en-GB"/>
        </w:rPr>
        <w:br w:type="page"/>
      </w:r>
    </w:p>
    <w:p w14:paraId="5BEC321C" w14:textId="208FFDA2" w:rsidR="00087EDA" w:rsidRDefault="00087EDA" w:rsidP="00E850B0">
      <w:pPr>
        <w:pStyle w:val="Heading1"/>
        <w:numPr>
          <w:ilvl w:val="0"/>
          <w:numId w:val="0"/>
        </w:numPr>
        <w:pBdr>
          <w:top w:val="single" w:sz="4" w:space="0" w:color="000000"/>
          <w:left w:val="single" w:sz="4" w:space="0" w:color="000000"/>
          <w:bottom w:val="single" w:sz="4" w:space="0" w:color="000000"/>
          <w:right w:val="single" w:sz="4" w:space="0" w:color="000000"/>
        </w:pBdr>
        <w:shd w:val="clear" w:color="auto" w:fill="D9D9D9"/>
        <w:spacing w:before="0" w:after="200"/>
        <w:rPr>
          <w:lang w:val="en-GB"/>
        </w:rPr>
      </w:pPr>
      <w:bookmarkStart w:id="307" w:name="_Toc533261866"/>
      <w:r>
        <w:rPr>
          <w:lang w:val="en-GB"/>
        </w:rPr>
        <w:lastRenderedPageBreak/>
        <w:t>Annex</w:t>
      </w:r>
      <w:r w:rsidR="00E850B0">
        <w:rPr>
          <w:lang w:val="en-GB"/>
        </w:rPr>
        <w:t>es</w:t>
      </w:r>
      <w:bookmarkEnd w:id="307"/>
      <w:r w:rsidR="00E850B0">
        <w:rPr>
          <w:lang w:val="en-GB"/>
        </w:rPr>
        <w:t xml:space="preserve"> </w:t>
      </w:r>
      <w:r>
        <w:rPr>
          <w:lang w:val="en-GB"/>
        </w:rPr>
        <w:t xml:space="preserve"> </w:t>
      </w:r>
    </w:p>
    <w:p w14:paraId="18A00B30" w14:textId="59059F47" w:rsidR="00E850B0" w:rsidRPr="00792657" w:rsidRDefault="00E850B0" w:rsidP="005F46EB">
      <w:pPr>
        <w:pStyle w:val="Heading1"/>
        <w:numPr>
          <w:ilvl w:val="0"/>
          <w:numId w:val="16"/>
        </w:numPr>
        <w:spacing w:before="0" w:after="200"/>
        <w:rPr>
          <w:lang w:val="nn-NO"/>
        </w:rPr>
      </w:pPr>
      <w:bookmarkStart w:id="308" w:name="_Toc533261867"/>
      <w:r w:rsidRPr="00792657">
        <w:rPr>
          <w:lang w:val="nn-NO"/>
        </w:rPr>
        <w:t>Smart Grids Task Force EG1 – modus operandi</w:t>
      </w:r>
      <w:bookmarkEnd w:id="308"/>
      <w:r w:rsidRPr="00792657">
        <w:rPr>
          <w:lang w:val="nn-NO"/>
        </w:rPr>
        <w:t xml:space="preserve"> </w:t>
      </w:r>
    </w:p>
    <w:p w14:paraId="4F029BB4" w14:textId="33F9A344" w:rsidR="00E850B0" w:rsidRPr="00A914ED" w:rsidRDefault="00A914ED" w:rsidP="005F46EB">
      <w:pPr>
        <w:pStyle w:val="Heading2"/>
        <w:numPr>
          <w:ilvl w:val="1"/>
          <w:numId w:val="15"/>
        </w:numPr>
        <w:spacing w:after="200"/>
        <w:rPr>
          <w:lang w:val="en-GB"/>
        </w:rPr>
      </w:pPr>
      <w:bookmarkStart w:id="309" w:name="_Toc533261868"/>
      <w:r w:rsidRPr="00A914ED">
        <w:rPr>
          <w:lang w:val="en-GB"/>
        </w:rPr>
        <w:t>Terms of Reference &amp; Roadmap</w:t>
      </w:r>
      <w:bookmarkEnd w:id="309"/>
      <w:r w:rsidR="00E850B0" w:rsidRPr="00A914ED">
        <w:rPr>
          <w:lang w:val="en-GB"/>
        </w:rPr>
        <w:t xml:space="preserve"> </w:t>
      </w:r>
    </w:p>
    <w:p w14:paraId="56CDBB72" w14:textId="77777777" w:rsidR="00087EDA" w:rsidRDefault="00087EDA" w:rsidP="00087EDA">
      <w:pPr>
        <w:jc w:val="both"/>
        <w:rPr>
          <w:szCs w:val="22"/>
          <w:lang w:val="en-GB"/>
        </w:rPr>
      </w:pPr>
      <w:r>
        <w:rPr>
          <w:szCs w:val="22"/>
          <w:lang w:val="en-GB"/>
        </w:rPr>
        <w:t>The Group's Terms of Reference (</w:t>
      </w:r>
      <w:proofErr w:type="spellStart"/>
      <w:r>
        <w:rPr>
          <w:szCs w:val="22"/>
          <w:lang w:val="en-GB"/>
        </w:rPr>
        <w:t>ToR</w:t>
      </w:r>
      <w:proofErr w:type="spellEnd"/>
      <w:r>
        <w:rPr>
          <w:szCs w:val="22"/>
          <w:lang w:val="en-GB"/>
        </w:rPr>
        <w:t>), defining amongst others the scope and structure of its work, were timely drafted, submitted (the 30/06/2017), and finally validated by the Steering Committee. This final, approved version has been made available online on the dedicated web site of the Smart Grids Task Force</w:t>
      </w:r>
      <w:r>
        <w:rPr>
          <w:rStyle w:val="FootnoteReference"/>
          <w:szCs w:val="22"/>
          <w:lang w:val="en-GB"/>
        </w:rPr>
        <w:footnoteReference w:id="22"/>
      </w:r>
      <w:r>
        <w:rPr>
          <w:szCs w:val="22"/>
          <w:lang w:val="en-GB"/>
        </w:rPr>
        <w:t>. Moreover, the Group developed a roadmap, as one of its first outputs, with key milestones and deliverables foreseen throughout its mandate.</w:t>
      </w:r>
    </w:p>
    <w:p w14:paraId="2D9CEAFE" w14:textId="77777777" w:rsidR="00087EDA" w:rsidRPr="00333305" w:rsidRDefault="00087EDA" w:rsidP="00087EDA">
      <w:pPr>
        <w:jc w:val="center"/>
        <w:rPr>
          <w:i/>
          <w:iCs/>
          <w:color w:val="1F497D" w:themeColor="text2"/>
          <w:sz w:val="20"/>
          <w:lang w:val="en-GB"/>
        </w:rPr>
      </w:pPr>
      <w:r w:rsidRPr="00333305">
        <w:rPr>
          <w:i/>
          <w:sz w:val="20"/>
          <w:lang w:val="en-GB"/>
        </w:rPr>
        <w:t>Figure 1 – Roadmap for</w:t>
      </w:r>
      <w:r w:rsidRPr="00333305">
        <w:rPr>
          <w:i/>
          <w:iCs/>
          <w:color w:val="1F497D" w:themeColor="text2"/>
          <w:sz w:val="20"/>
          <w:lang w:val="en-GB"/>
        </w:rPr>
        <w:t xml:space="preserve"> this Working Group</w:t>
      </w:r>
    </w:p>
    <w:p w14:paraId="77EFDF4C" w14:textId="77777777" w:rsidR="00087EDA" w:rsidRDefault="00087EDA" w:rsidP="00087EDA">
      <w:pPr>
        <w:jc w:val="center"/>
        <w:rPr>
          <w:szCs w:val="22"/>
        </w:rPr>
      </w:pPr>
      <w:r>
        <w:rPr>
          <w:noProof/>
          <w:szCs w:val="22"/>
          <w:lang w:val="en-GB" w:eastAsia="en-GB"/>
        </w:rPr>
        <w:drawing>
          <wp:inline distT="0" distB="0" distL="0" distR="0" wp14:anchorId="78768382" wp14:editId="75A00709">
            <wp:extent cx="5760720" cy="2029460"/>
            <wp:effectExtent l="0" t="0" r="0"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60720" cy="2029460"/>
                    </a:xfrm>
                    <a:prstGeom prst="rect">
                      <a:avLst/>
                    </a:prstGeom>
                  </pic:spPr>
                </pic:pic>
              </a:graphicData>
            </a:graphic>
          </wp:inline>
        </w:drawing>
      </w:r>
    </w:p>
    <w:p w14:paraId="34209D6A" w14:textId="587A1A60" w:rsidR="00087EDA" w:rsidRDefault="00087EDA" w:rsidP="00087EDA">
      <w:pPr>
        <w:jc w:val="both"/>
        <w:rPr>
          <w:lang w:val="en-GB"/>
        </w:rPr>
      </w:pPr>
      <w:r w:rsidRPr="00585823">
        <w:rPr>
          <w:rFonts w:asciiTheme="minorHAnsi" w:hAnsiTheme="minorHAnsi"/>
          <w:lang w:val="en-GB"/>
        </w:rPr>
        <w:t>After the initial slow start, and following on the momentum built at the end of last year</w:t>
      </w:r>
      <w:r w:rsidRPr="00585823">
        <w:rPr>
          <w:szCs w:val="22"/>
          <w:lang w:val="en-GB"/>
        </w:rPr>
        <w:t xml:space="preserve">, the Group members </w:t>
      </w:r>
      <w:r w:rsidR="0026659E">
        <w:rPr>
          <w:szCs w:val="22"/>
          <w:lang w:val="en-GB"/>
        </w:rPr>
        <w:t>were</w:t>
      </w:r>
      <w:r w:rsidRPr="00585823">
        <w:rPr>
          <w:szCs w:val="22"/>
          <w:lang w:val="en-GB"/>
        </w:rPr>
        <w:t xml:space="preserve"> extensively more involved in the respective tasks mainly through the ad-hoc subgroups that </w:t>
      </w:r>
      <w:r w:rsidR="0026659E">
        <w:rPr>
          <w:szCs w:val="22"/>
          <w:lang w:val="en-GB"/>
        </w:rPr>
        <w:t>was</w:t>
      </w:r>
      <w:r w:rsidRPr="00585823">
        <w:rPr>
          <w:szCs w:val="22"/>
          <w:lang w:val="en-GB"/>
        </w:rPr>
        <w:t xml:space="preserve"> formed to progress with the work. These informal structures gave the opportunity to also p</w:t>
      </w:r>
      <w:r>
        <w:rPr>
          <w:szCs w:val="22"/>
          <w:lang w:val="en-GB"/>
        </w:rPr>
        <w:t>ull</w:t>
      </w:r>
      <w:r w:rsidRPr="00585823">
        <w:rPr>
          <w:szCs w:val="22"/>
          <w:lang w:val="en-GB"/>
        </w:rPr>
        <w:t xml:space="preserve"> further expertise from the associations represented in the Group, and further advance with the work. </w:t>
      </w:r>
      <w:r w:rsidR="0026659E">
        <w:rPr>
          <w:szCs w:val="22"/>
          <w:lang w:val="en-GB"/>
        </w:rPr>
        <w:t xml:space="preserve">Instrumental to the successful completion of this exercise have been </w:t>
      </w:r>
      <w:r w:rsidRPr="00585823">
        <w:rPr>
          <w:szCs w:val="22"/>
          <w:lang w:val="en-GB"/>
        </w:rPr>
        <w:t>few key contributors, the subgroup leaders, and the coordinating efforts of the Editorial Team.</w:t>
      </w:r>
    </w:p>
    <w:p w14:paraId="6243CD5D" w14:textId="77777777" w:rsidR="00087EDA" w:rsidRDefault="00087EDA" w:rsidP="005F46EB">
      <w:pPr>
        <w:pStyle w:val="Heading2"/>
        <w:numPr>
          <w:ilvl w:val="1"/>
          <w:numId w:val="15"/>
        </w:numPr>
        <w:spacing w:after="200"/>
        <w:ind w:left="788" w:hanging="431"/>
        <w:rPr>
          <w:lang w:val="en-GB"/>
        </w:rPr>
      </w:pPr>
      <w:bookmarkStart w:id="310" w:name="_Toc533261869"/>
      <w:r>
        <w:rPr>
          <w:lang w:val="en-GB"/>
        </w:rPr>
        <w:t>Group membership</w:t>
      </w:r>
      <w:bookmarkEnd w:id="310"/>
    </w:p>
    <w:p w14:paraId="1792770E" w14:textId="0A146835" w:rsidR="00087EDA" w:rsidRDefault="00087EDA" w:rsidP="00087EDA">
      <w:pPr>
        <w:jc w:val="both"/>
        <w:rPr>
          <w:szCs w:val="22"/>
          <w:lang w:val="en-GB"/>
        </w:rPr>
      </w:pPr>
      <w:r>
        <w:rPr>
          <w:szCs w:val="22"/>
          <w:lang w:val="en-GB"/>
        </w:rPr>
        <w:t>The external experts– main representatives and their alternates –</w:t>
      </w:r>
      <w:r w:rsidR="0026659E">
        <w:rPr>
          <w:szCs w:val="22"/>
          <w:lang w:val="en-GB"/>
        </w:rPr>
        <w:t xml:space="preserve"> who were </w:t>
      </w:r>
      <w:r>
        <w:rPr>
          <w:szCs w:val="22"/>
          <w:lang w:val="en-GB"/>
        </w:rPr>
        <w:t xml:space="preserve">members of this Group and their affiliation, can be seen </w:t>
      </w:r>
      <w:r w:rsidR="0026659E">
        <w:rPr>
          <w:szCs w:val="22"/>
          <w:lang w:val="en-GB"/>
        </w:rPr>
        <w:t>below</w:t>
      </w:r>
      <w:r>
        <w:rPr>
          <w:szCs w:val="22"/>
          <w:lang w:val="en-GB"/>
        </w:rPr>
        <w:t xml:space="preserve">. Changes in the original composition notified to the Steering Committee with the </w:t>
      </w:r>
      <w:proofErr w:type="spellStart"/>
      <w:r>
        <w:rPr>
          <w:szCs w:val="22"/>
          <w:lang w:val="en-GB"/>
        </w:rPr>
        <w:t>ToR</w:t>
      </w:r>
      <w:proofErr w:type="spellEnd"/>
      <w:r>
        <w:rPr>
          <w:szCs w:val="22"/>
          <w:lang w:val="en-GB"/>
        </w:rPr>
        <w:t xml:space="preserve"> are also in</w:t>
      </w:r>
      <w:r w:rsidR="0026659E">
        <w:rPr>
          <w:szCs w:val="22"/>
          <w:lang w:val="en-GB"/>
        </w:rPr>
        <w:t xml:space="preserve">dicated. </w:t>
      </w:r>
      <w:r>
        <w:rPr>
          <w:szCs w:val="22"/>
          <w:lang w:val="en-GB"/>
        </w:rPr>
        <w:t>The listed members in this Group have been nominated by the organisations participating in the Smart Grids Task Force Steering Committee, and undert</w:t>
      </w:r>
      <w:r w:rsidR="0026659E">
        <w:rPr>
          <w:szCs w:val="22"/>
          <w:lang w:val="en-GB"/>
        </w:rPr>
        <w:t>ook</w:t>
      </w:r>
      <w:r>
        <w:rPr>
          <w:szCs w:val="22"/>
          <w:lang w:val="en-GB"/>
        </w:rPr>
        <w:t xml:space="preserve"> their work by means of their own resources. </w:t>
      </w:r>
    </w:p>
    <w:p w14:paraId="68EE2408" w14:textId="77777777" w:rsidR="00087EDA" w:rsidRDefault="00087EDA" w:rsidP="005F46EB">
      <w:pPr>
        <w:pStyle w:val="Heading2"/>
        <w:numPr>
          <w:ilvl w:val="1"/>
          <w:numId w:val="15"/>
        </w:numPr>
        <w:spacing w:after="200"/>
        <w:ind w:left="788" w:hanging="431"/>
        <w:rPr>
          <w:lang w:val="en-GB"/>
        </w:rPr>
      </w:pPr>
      <w:bookmarkStart w:id="311" w:name="_Toc533261870"/>
      <w:r>
        <w:rPr>
          <w:lang w:val="en-GB"/>
        </w:rPr>
        <w:t>Working methods</w:t>
      </w:r>
      <w:bookmarkEnd w:id="311"/>
    </w:p>
    <w:p w14:paraId="12E93FD8" w14:textId="5BD5D879" w:rsidR="00087EDA" w:rsidRDefault="00087EDA" w:rsidP="00087EDA">
      <w:pPr>
        <w:jc w:val="both"/>
        <w:rPr>
          <w:szCs w:val="22"/>
          <w:lang w:val="en-GB"/>
        </w:rPr>
      </w:pPr>
      <w:r w:rsidRPr="00D46BB6">
        <w:rPr>
          <w:szCs w:val="22"/>
          <w:lang w:val="en-GB"/>
        </w:rPr>
        <w:t xml:space="preserve">The Group, as already agreed in its </w:t>
      </w:r>
      <w:proofErr w:type="spellStart"/>
      <w:r w:rsidRPr="00D46BB6">
        <w:rPr>
          <w:szCs w:val="22"/>
          <w:lang w:val="en-GB"/>
        </w:rPr>
        <w:t>ToR</w:t>
      </w:r>
      <w:proofErr w:type="spellEnd"/>
      <w:r w:rsidRPr="00D46BB6">
        <w:rPr>
          <w:szCs w:val="22"/>
          <w:lang w:val="en-GB"/>
        </w:rPr>
        <w:t xml:space="preserve">, proceeded with the work, as well as with its specific deliverables based on consensus among all actors involved. </w:t>
      </w:r>
    </w:p>
    <w:p w14:paraId="1942FB64" w14:textId="35525096" w:rsidR="00087EDA" w:rsidRPr="00D46BB6" w:rsidRDefault="00087EDA" w:rsidP="00087EDA">
      <w:pPr>
        <w:jc w:val="both"/>
        <w:rPr>
          <w:rFonts w:asciiTheme="minorHAnsi" w:hAnsiTheme="minorHAnsi"/>
          <w:szCs w:val="22"/>
          <w:lang w:val="en-GB"/>
        </w:rPr>
      </w:pPr>
      <w:r w:rsidRPr="00D46BB6">
        <w:rPr>
          <w:rFonts w:asciiTheme="minorHAnsi" w:hAnsiTheme="minorHAnsi"/>
          <w:szCs w:val="22"/>
          <w:lang w:val="en-GB"/>
        </w:rPr>
        <w:lastRenderedPageBreak/>
        <w:t xml:space="preserve">In order to progress with the work, as mentioned earlier, the Group decided to </w:t>
      </w:r>
      <w:r>
        <w:rPr>
          <w:rFonts w:asciiTheme="minorHAnsi" w:hAnsiTheme="minorHAnsi"/>
          <w:szCs w:val="22"/>
          <w:lang w:val="en-GB"/>
        </w:rPr>
        <w:t xml:space="preserve">take a practical step and </w:t>
      </w:r>
      <w:r w:rsidRPr="00D46BB6">
        <w:rPr>
          <w:rFonts w:asciiTheme="minorHAnsi" w:hAnsiTheme="minorHAnsi"/>
          <w:szCs w:val="22"/>
          <w:lang w:val="en-GB"/>
        </w:rPr>
        <w:t xml:space="preserve">form four ad-hoc working teams (subgroups) that were asked to investigate in depth the relevant issues in three processes – </w:t>
      </w:r>
      <w:r w:rsidRPr="00D46BB6">
        <w:rPr>
          <w:rFonts w:asciiTheme="minorHAnsi" w:hAnsiTheme="minorHAnsi"/>
          <w:i/>
          <w:szCs w:val="22"/>
          <w:lang w:val="en-GB"/>
        </w:rPr>
        <w:t>change of supplier</w:t>
      </w:r>
      <w:r w:rsidRPr="00D46BB6">
        <w:rPr>
          <w:rFonts w:asciiTheme="minorHAnsi" w:hAnsiTheme="minorHAnsi"/>
          <w:szCs w:val="22"/>
          <w:lang w:val="en-GB"/>
        </w:rPr>
        <w:t xml:space="preserve">, </w:t>
      </w:r>
      <w:r w:rsidRPr="00D46BB6">
        <w:rPr>
          <w:rFonts w:asciiTheme="minorHAnsi" w:hAnsiTheme="minorHAnsi"/>
          <w:i/>
          <w:szCs w:val="22"/>
          <w:lang w:val="en-GB"/>
        </w:rPr>
        <w:t>billing</w:t>
      </w:r>
      <w:r w:rsidRPr="00D46BB6">
        <w:rPr>
          <w:rFonts w:asciiTheme="minorHAnsi" w:hAnsiTheme="minorHAnsi"/>
          <w:szCs w:val="22"/>
          <w:lang w:val="en-GB"/>
        </w:rPr>
        <w:t xml:space="preserve">, support to </w:t>
      </w:r>
      <w:r>
        <w:rPr>
          <w:rFonts w:asciiTheme="minorHAnsi" w:hAnsiTheme="minorHAnsi"/>
          <w:szCs w:val="22"/>
          <w:lang w:val="en-GB"/>
        </w:rPr>
        <w:t xml:space="preserve">new and </w:t>
      </w:r>
      <w:r w:rsidRPr="00D46BB6">
        <w:rPr>
          <w:rFonts w:asciiTheme="minorHAnsi" w:hAnsiTheme="minorHAnsi"/>
          <w:i/>
          <w:szCs w:val="22"/>
          <w:lang w:val="en-GB"/>
        </w:rPr>
        <w:t>emerging services</w:t>
      </w:r>
      <w:r w:rsidRPr="00D46BB6">
        <w:rPr>
          <w:rFonts w:asciiTheme="minorHAnsi" w:hAnsiTheme="minorHAnsi"/>
          <w:szCs w:val="22"/>
          <w:lang w:val="en-GB"/>
        </w:rPr>
        <w:t xml:space="preserve"> – and the horizontal issue of </w:t>
      </w:r>
      <w:r w:rsidRPr="00D46BB6">
        <w:rPr>
          <w:rFonts w:asciiTheme="minorHAnsi" w:hAnsiTheme="minorHAnsi"/>
          <w:i/>
          <w:szCs w:val="22"/>
          <w:lang w:val="en-GB"/>
        </w:rPr>
        <w:t>interoperability</w:t>
      </w:r>
      <w:r w:rsidRPr="00D46BB6">
        <w:rPr>
          <w:rFonts w:asciiTheme="minorHAnsi" w:hAnsiTheme="minorHAnsi"/>
          <w:szCs w:val="22"/>
          <w:lang w:val="en-GB"/>
        </w:rPr>
        <w:t xml:space="preserve">. It was agreed that </w:t>
      </w:r>
      <w:r w:rsidRPr="00D46BB6">
        <w:rPr>
          <w:rFonts w:asciiTheme="minorHAnsi" w:eastAsia="Times New Roman" w:hAnsiTheme="minorHAnsi" w:cs="Times New Roman"/>
          <w:szCs w:val="22"/>
          <w:lang w:val="en-GB" w:eastAsia="en-US"/>
        </w:rPr>
        <w:t xml:space="preserve">the subgroups' </w:t>
      </w:r>
      <w:r>
        <w:rPr>
          <w:rFonts w:asciiTheme="minorHAnsi" w:eastAsia="Times New Roman" w:hAnsiTheme="minorHAnsi" w:cs="Times New Roman"/>
          <w:szCs w:val="22"/>
          <w:lang w:val="en-GB" w:eastAsia="en-US"/>
        </w:rPr>
        <w:t>findings</w:t>
      </w:r>
      <w:r w:rsidRPr="00D46BB6">
        <w:rPr>
          <w:rFonts w:asciiTheme="minorHAnsi" w:eastAsia="Times New Roman" w:hAnsiTheme="minorHAnsi" w:cs="Times New Roman"/>
          <w:szCs w:val="22"/>
          <w:lang w:val="en-GB" w:eastAsia="en-US"/>
        </w:rPr>
        <w:t xml:space="preserve"> </w:t>
      </w:r>
      <w:r w:rsidR="00E850B0">
        <w:rPr>
          <w:rFonts w:asciiTheme="minorHAnsi" w:eastAsia="Times New Roman" w:hAnsiTheme="minorHAnsi" w:cs="Times New Roman"/>
          <w:szCs w:val="22"/>
          <w:lang w:val="en-GB" w:eastAsia="en-US"/>
        </w:rPr>
        <w:t>would need</w:t>
      </w:r>
      <w:r w:rsidRPr="00D46BB6">
        <w:rPr>
          <w:rFonts w:asciiTheme="minorHAnsi" w:eastAsia="Times New Roman" w:hAnsiTheme="minorHAnsi" w:cs="Times New Roman"/>
          <w:szCs w:val="22"/>
          <w:lang w:val="en-GB" w:eastAsia="en-US"/>
        </w:rPr>
        <w:t xml:space="preserve"> to be approv</w:t>
      </w:r>
      <w:r>
        <w:rPr>
          <w:rFonts w:asciiTheme="minorHAnsi" w:eastAsia="Times New Roman" w:hAnsiTheme="minorHAnsi" w:cs="Times New Roman"/>
          <w:szCs w:val="22"/>
          <w:lang w:val="en-GB" w:eastAsia="en-US"/>
        </w:rPr>
        <w:t>ed by the whole assembly of EG1 to be considered as valid outcomes.</w:t>
      </w:r>
    </w:p>
    <w:p w14:paraId="39B2EE77" w14:textId="548207CF" w:rsidR="00087EDA" w:rsidRDefault="00087EDA" w:rsidP="00087EDA">
      <w:pPr>
        <w:jc w:val="both"/>
        <w:rPr>
          <w:szCs w:val="22"/>
          <w:lang w:val="en-GB"/>
        </w:rPr>
      </w:pPr>
      <w:r w:rsidRPr="00585823">
        <w:rPr>
          <w:szCs w:val="22"/>
          <w:lang w:val="en-GB"/>
        </w:rPr>
        <w:t>The Group report</w:t>
      </w:r>
      <w:r w:rsidR="00E850B0">
        <w:rPr>
          <w:szCs w:val="22"/>
          <w:lang w:val="en-GB"/>
        </w:rPr>
        <w:t>ed</w:t>
      </w:r>
      <w:r w:rsidRPr="00585823">
        <w:rPr>
          <w:szCs w:val="22"/>
          <w:lang w:val="en-GB"/>
        </w:rPr>
        <w:t xml:space="preserve"> on its overall progress</w:t>
      </w:r>
      <w:r w:rsidR="00E850B0">
        <w:rPr>
          <w:szCs w:val="22"/>
          <w:lang w:val="en-GB"/>
        </w:rPr>
        <w:t xml:space="preserve"> to the</w:t>
      </w:r>
      <w:r w:rsidR="00E850B0" w:rsidRPr="00E850B0">
        <w:rPr>
          <w:szCs w:val="22"/>
          <w:lang w:val="en-GB"/>
        </w:rPr>
        <w:t xml:space="preserve"> </w:t>
      </w:r>
      <w:r w:rsidR="00E850B0" w:rsidRPr="00585823">
        <w:rPr>
          <w:szCs w:val="22"/>
          <w:lang w:val="en-GB"/>
        </w:rPr>
        <w:t>Smart Grids Task Force Steering Committee</w:t>
      </w:r>
      <w:r w:rsidRPr="00585823">
        <w:rPr>
          <w:szCs w:val="22"/>
          <w:lang w:val="en-GB"/>
        </w:rPr>
        <w:t xml:space="preserve">, </w:t>
      </w:r>
      <w:r w:rsidR="00E850B0">
        <w:rPr>
          <w:szCs w:val="22"/>
          <w:lang w:val="en-GB"/>
        </w:rPr>
        <w:t>through two</w:t>
      </w:r>
      <w:r w:rsidRPr="00585823">
        <w:rPr>
          <w:szCs w:val="22"/>
          <w:lang w:val="en-GB"/>
        </w:rPr>
        <w:t xml:space="preserve"> interim report</w:t>
      </w:r>
      <w:r w:rsidR="00E850B0">
        <w:rPr>
          <w:szCs w:val="22"/>
          <w:lang w:val="en-GB"/>
        </w:rPr>
        <w:t>s</w:t>
      </w:r>
      <w:r w:rsidRPr="00585823">
        <w:rPr>
          <w:szCs w:val="22"/>
          <w:lang w:val="en-GB"/>
        </w:rPr>
        <w:t xml:space="preserve">, </w:t>
      </w:r>
      <w:r w:rsidR="00E850B0">
        <w:rPr>
          <w:szCs w:val="22"/>
          <w:lang w:val="en-GB"/>
        </w:rPr>
        <w:t xml:space="preserve">in addition to this </w:t>
      </w:r>
      <w:r w:rsidRPr="00585823">
        <w:rPr>
          <w:szCs w:val="22"/>
          <w:lang w:val="en-GB"/>
        </w:rPr>
        <w:t>final report.</w:t>
      </w:r>
      <w:r>
        <w:rPr>
          <w:szCs w:val="22"/>
          <w:lang w:val="en-GB"/>
        </w:rPr>
        <w:t xml:space="preserve"> </w:t>
      </w:r>
    </w:p>
    <w:p w14:paraId="20731B7B" w14:textId="528C54FE" w:rsidR="00087EDA" w:rsidRDefault="00087EDA" w:rsidP="00087EDA">
      <w:pPr>
        <w:jc w:val="both"/>
        <w:rPr>
          <w:szCs w:val="22"/>
          <w:lang w:val="en-GB"/>
        </w:rPr>
      </w:pPr>
      <w:r>
        <w:rPr>
          <w:szCs w:val="22"/>
          <w:lang w:val="en-GB"/>
        </w:rPr>
        <w:t xml:space="preserve">The work and the drafting of the respective deliverables with inputs from Group members </w:t>
      </w:r>
      <w:r w:rsidR="00E850B0">
        <w:rPr>
          <w:szCs w:val="22"/>
          <w:lang w:val="en-GB"/>
        </w:rPr>
        <w:t>was</w:t>
      </w:r>
      <w:r>
        <w:rPr>
          <w:szCs w:val="22"/>
          <w:lang w:val="en-GB"/>
        </w:rPr>
        <w:t xml:space="preserve"> coordinated, since its establishment, by an Editorial Team</w:t>
      </w:r>
      <w:r>
        <w:rPr>
          <w:i/>
          <w:szCs w:val="22"/>
          <w:lang w:val="en-GB"/>
        </w:rPr>
        <w:t xml:space="preserve"> </w:t>
      </w:r>
      <w:r>
        <w:rPr>
          <w:szCs w:val="22"/>
          <w:lang w:val="en-GB"/>
        </w:rPr>
        <w:t xml:space="preserve">(ET) of five who </w:t>
      </w:r>
      <w:r w:rsidR="00E850B0">
        <w:rPr>
          <w:szCs w:val="22"/>
          <w:lang w:val="en-GB"/>
        </w:rPr>
        <w:t>we</w:t>
      </w:r>
      <w:r>
        <w:rPr>
          <w:szCs w:val="22"/>
          <w:lang w:val="en-GB"/>
        </w:rPr>
        <w:t>re assi</w:t>
      </w:r>
      <w:r w:rsidR="00E850B0">
        <w:rPr>
          <w:szCs w:val="22"/>
          <w:lang w:val="en-GB"/>
        </w:rPr>
        <w:t>sted by a few key contributors and the European Commission. The</w:t>
      </w:r>
      <w:r>
        <w:rPr>
          <w:szCs w:val="22"/>
          <w:lang w:val="en-GB"/>
        </w:rPr>
        <w:t xml:space="preserve"> Editorial Team was set up at the kick off meeting, in line with the agreed </w:t>
      </w:r>
      <w:proofErr w:type="spellStart"/>
      <w:r>
        <w:rPr>
          <w:szCs w:val="22"/>
          <w:lang w:val="en-GB"/>
        </w:rPr>
        <w:t>ToR</w:t>
      </w:r>
      <w:proofErr w:type="spellEnd"/>
      <w:r>
        <w:rPr>
          <w:szCs w:val="22"/>
          <w:lang w:val="en-GB"/>
        </w:rPr>
        <w:t>, and consist</w:t>
      </w:r>
      <w:r w:rsidR="00E850B0">
        <w:rPr>
          <w:szCs w:val="22"/>
          <w:lang w:val="en-GB"/>
        </w:rPr>
        <w:t>ed</w:t>
      </w:r>
      <w:r>
        <w:rPr>
          <w:szCs w:val="22"/>
          <w:lang w:val="en-GB"/>
        </w:rPr>
        <w:t xml:space="preserve"> of members from the following organisations: CEER, </w:t>
      </w:r>
      <w:proofErr w:type="spellStart"/>
      <w:r>
        <w:rPr>
          <w:szCs w:val="22"/>
          <w:lang w:val="en-GB"/>
        </w:rPr>
        <w:t>Eurelectric</w:t>
      </w:r>
      <w:proofErr w:type="spellEnd"/>
      <w:r>
        <w:rPr>
          <w:szCs w:val="22"/>
          <w:lang w:val="en-GB"/>
        </w:rPr>
        <w:t xml:space="preserve">, ENTSO-E, ESMIG and </w:t>
      </w:r>
      <w:proofErr w:type="spellStart"/>
      <w:r>
        <w:rPr>
          <w:szCs w:val="22"/>
          <w:lang w:val="en-GB"/>
        </w:rPr>
        <w:t>ebIX</w:t>
      </w:r>
      <w:proofErr w:type="spellEnd"/>
      <w:r>
        <w:rPr>
          <w:szCs w:val="22"/>
          <w:lang w:val="en-GB"/>
        </w:rPr>
        <w:t xml:space="preserve"> (see </w:t>
      </w:r>
      <w:r w:rsidR="00E850B0">
        <w:rPr>
          <w:szCs w:val="22"/>
          <w:lang w:val="en-GB"/>
        </w:rPr>
        <w:t>list of experts below</w:t>
      </w:r>
      <w:r>
        <w:rPr>
          <w:szCs w:val="22"/>
          <w:lang w:val="en-GB"/>
        </w:rPr>
        <w:t xml:space="preserve">).  </w:t>
      </w:r>
    </w:p>
    <w:p w14:paraId="7AF205C3" w14:textId="77777777" w:rsidR="00087EDA" w:rsidRDefault="00087EDA" w:rsidP="005F46EB">
      <w:pPr>
        <w:pStyle w:val="Heading2"/>
        <w:numPr>
          <w:ilvl w:val="1"/>
          <w:numId w:val="15"/>
        </w:numPr>
        <w:spacing w:after="200"/>
        <w:ind w:left="788" w:hanging="431"/>
        <w:rPr>
          <w:lang w:val="en-GB"/>
        </w:rPr>
      </w:pPr>
      <w:bookmarkStart w:id="312" w:name="_Toc515823784"/>
      <w:bookmarkStart w:id="313" w:name="_Toc515823900"/>
      <w:bookmarkStart w:id="314" w:name="_Toc515824081"/>
      <w:bookmarkStart w:id="315" w:name="_Toc533261871"/>
      <w:bookmarkEnd w:id="312"/>
      <w:bookmarkEnd w:id="313"/>
      <w:bookmarkEnd w:id="314"/>
      <w:r>
        <w:rPr>
          <w:lang w:val="en-GB"/>
        </w:rPr>
        <w:t>Meetings</w:t>
      </w:r>
      <w:bookmarkEnd w:id="315"/>
    </w:p>
    <w:p w14:paraId="31D40001" w14:textId="4D661DDC" w:rsidR="00087EDA" w:rsidRPr="00585823" w:rsidRDefault="00087EDA" w:rsidP="00087EDA">
      <w:pPr>
        <w:jc w:val="both"/>
        <w:rPr>
          <w:szCs w:val="22"/>
          <w:lang w:val="en-GB"/>
        </w:rPr>
      </w:pPr>
      <w:r w:rsidRPr="00585823">
        <w:rPr>
          <w:szCs w:val="22"/>
          <w:lang w:val="en-GB"/>
        </w:rPr>
        <w:t xml:space="preserve">Since the establishment of the Group, and its kick off meeting the 24/05/2017, </w:t>
      </w:r>
      <w:r w:rsidR="00E850B0">
        <w:rPr>
          <w:szCs w:val="22"/>
          <w:lang w:val="en-GB"/>
        </w:rPr>
        <w:t>six</w:t>
      </w:r>
      <w:r w:rsidRPr="00585823">
        <w:rPr>
          <w:szCs w:val="22"/>
          <w:lang w:val="en-GB"/>
        </w:rPr>
        <w:t xml:space="preserve"> more physical meetings with the whole assembly were held in Brussels, chaired, and organised by the European Commission, at its premises. These were two meetings in 2017, the 22/09/2017 and the 07/12/2017, and </w:t>
      </w:r>
      <w:r w:rsidR="00E850B0">
        <w:rPr>
          <w:szCs w:val="22"/>
          <w:lang w:val="en-GB"/>
        </w:rPr>
        <w:t xml:space="preserve">four more held in 2018, the 19/03/2018, </w:t>
      </w:r>
      <w:r w:rsidRPr="00585823">
        <w:rPr>
          <w:szCs w:val="22"/>
          <w:lang w:val="en-GB"/>
        </w:rPr>
        <w:t>18/06/2018</w:t>
      </w:r>
      <w:r w:rsidR="00E850B0">
        <w:rPr>
          <w:szCs w:val="22"/>
          <w:lang w:val="en-GB"/>
        </w:rPr>
        <w:t>, 02/10/2018 and 10/12/2018</w:t>
      </w:r>
      <w:r w:rsidRPr="00585823">
        <w:rPr>
          <w:szCs w:val="22"/>
          <w:lang w:val="en-GB"/>
        </w:rPr>
        <w:t xml:space="preserve">. At the same time, the ET and the subgroup teams were engaged in regular, </w:t>
      </w:r>
      <w:r w:rsidR="00E850B0">
        <w:rPr>
          <w:szCs w:val="22"/>
          <w:lang w:val="en-GB"/>
        </w:rPr>
        <w:t>mostly</w:t>
      </w:r>
      <w:r w:rsidRPr="00585823">
        <w:rPr>
          <w:szCs w:val="22"/>
          <w:lang w:val="en-GB"/>
        </w:rPr>
        <w:t xml:space="preserve"> weekly, teleconferences to progress with the work and coordinate actions. </w:t>
      </w:r>
    </w:p>
    <w:p w14:paraId="2D10EB13" w14:textId="14230CE0" w:rsidR="00087EDA" w:rsidRPr="00585823" w:rsidRDefault="00E850B0" w:rsidP="00087EDA">
      <w:pPr>
        <w:jc w:val="both"/>
        <w:rPr>
          <w:szCs w:val="22"/>
          <w:lang w:val="en-GB"/>
        </w:rPr>
      </w:pPr>
      <w:r>
        <w:rPr>
          <w:szCs w:val="22"/>
          <w:lang w:val="en-GB"/>
        </w:rPr>
        <w:t>D</w:t>
      </w:r>
      <w:r w:rsidR="00087EDA" w:rsidRPr="00585823">
        <w:rPr>
          <w:szCs w:val="22"/>
          <w:lang w:val="en-GB"/>
        </w:rPr>
        <w:t>uring the first reporting period, members of the ET participated, on Commission's request, in the progress meeting of a related external study on data that the Commission has previously launched and findings of which could potentially be of interest to this Group.</w:t>
      </w:r>
    </w:p>
    <w:p w14:paraId="78D3C976" w14:textId="352CDC23" w:rsidR="00087EDA" w:rsidRPr="00A914ED" w:rsidRDefault="00087EDA" w:rsidP="005F46EB">
      <w:pPr>
        <w:pStyle w:val="Heading2"/>
        <w:numPr>
          <w:ilvl w:val="1"/>
          <w:numId w:val="15"/>
        </w:numPr>
        <w:spacing w:after="200"/>
        <w:rPr>
          <w:lang w:val="en-GB"/>
        </w:rPr>
      </w:pPr>
      <w:r>
        <w:rPr>
          <w:b/>
          <w:szCs w:val="22"/>
          <w:lang w:val="en-GB"/>
        </w:rPr>
        <w:br w:type="page"/>
      </w:r>
      <w:bookmarkStart w:id="316" w:name="_Toc533261872"/>
      <w:r w:rsidR="00A914ED">
        <w:rPr>
          <w:lang w:val="en-GB"/>
        </w:rPr>
        <w:lastRenderedPageBreak/>
        <w:t>Membership</w:t>
      </w:r>
      <w:bookmarkEnd w:id="316"/>
    </w:p>
    <w:tbl>
      <w:tblPr>
        <w:tblW w:w="9610" w:type="dxa"/>
        <w:tblInd w:w="124" w:type="dxa"/>
        <w:tblCellMar>
          <w:left w:w="10" w:type="dxa"/>
          <w:right w:w="10" w:type="dxa"/>
        </w:tblCellMar>
        <w:tblLook w:val="0000" w:firstRow="0" w:lastRow="0" w:firstColumn="0" w:lastColumn="0" w:noHBand="0" w:noVBand="0"/>
      </w:tblPr>
      <w:tblGrid>
        <w:gridCol w:w="2406"/>
        <w:gridCol w:w="1716"/>
        <w:gridCol w:w="2518"/>
        <w:gridCol w:w="2970"/>
      </w:tblGrid>
      <w:tr w:rsidR="00EF0C24" w:rsidRPr="00F2268F" w14:paraId="332B2A78" w14:textId="77777777" w:rsidTr="0078313B">
        <w:trPr>
          <w:cantSplit/>
          <w:trHeight w:val="372"/>
        </w:trPr>
        <w:tc>
          <w:tcPr>
            <w:tcW w:w="9610" w:type="dxa"/>
            <w:gridSpan w:val="4"/>
            <w:tcBorders>
              <w:top w:val="single" w:sz="8" w:space="0" w:color="FFFFFF"/>
              <w:left w:val="single" w:sz="8" w:space="0" w:color="FFFFFF"/>
              <w:bottom w:val="single" w:sz="24" w:space="0" w:color="FFFFFF"/>
              <w:right w:val="single" w:sz="8" w:space="0" w:color="FFFFFF"/>
            </w:tcBorders>
            <w:shd w:val="clear" w:color="auto" w:fill="03A9DD"/>
            <w:tcMar>
              <w:top w:w="15" w:type="dxa"/>
              <w:left w:w="101" w:type="dxa"/>
              <w:bottom w:w="0" w:type="dxa"/>
              <w:right w:w="101" w:type="dxa"/>
            </w:tcMar>
          </w:tcPr>
          <w:p w14:paraId="4333BECA" w14:textId="77777777" w:rsidR="00F74C06" w:rsidRPr="00F74C06" w:rsidRDefault="00F74C06" w:rsidP="00F74C06">
            <w:pPr>
              <w:suppressAutoHyphens/>
              <w:autoSpaceDN w:val="0"/>
              <w:spacing w:after="0"/>
              <w:textAlignment w:val="baseline"/>
              <w:rPr>
                <w:rFonts w:eastAsia="Times New Roman"/>
                <w:b/>
                <w:bCs/>
                <w:color w:val="FFFFFF"/>
                <w:kern w:val="3"/>
                <w:sz w:val="24"/>
                <w:szCs w:val="24"/>
                <w:lang w:val="en-GB" w:eastAsia="en-GB"/>
              </w:rPr>
            </w:pPr>
            <w:r w:rsidRPr="00F74C06">
              <w:rPr>
                <w:rFonts w:eastAsia="Times New Roman"/>
                <w:b/>
                <w:bCs/>
                <w:color w:val="FFFFFF"/>
                <w:kern w:val="3"/>
                <w:sz w:val="24"/>
                <w:szCs w:val="24"/>
                <w:lang w:val="en-GB" w:eastAsia="en-GB"/>
              </w:rPr>
              <w:t xml:space="preserve">Working </w:t>
            </w:r>
            <w:proofErr w:type="spellStart"/>
            <w:r w:rsidRPr="00F74C06">
              <w:rPr>
                <w:rFonts w:eastAsia="Times New Roman"/>
                <w:b/>
                <w:bCs/>
                <w:color w:val="FFFFFF"/>
                <w:kern w:val="3"/>
                <w:sz w:val="24"/>
                <w:szCs w:val="24"/>
                <w:lang w:val="en-GB" w:eastAsia="en-GB"/>
              </w:rPr>
              <w:t>Group"Electricity</w:t>
            </w:r>
            <w:proofErr w:type="spellEnd"/>
            <w:r w:rsidRPr="00F74C06">
              <w:rPr>
                <w:rFonts w:eastAsia="Times New Roman"/>
                <w:b/>
                <w:bCs/>
                <w:color w:val="FFFFFF"/>
                <w:kern w:val="3"/>
                <w:sz w:val="24"/>
                <w:szCs w:val="24"/>
                <w:lang w:val="en-GB" w:eastAsia="en-GB"/>
              </w:rPr>
              <w:t xml:space="preserve"> and Gas Data Format &amp; Procedures", chair: European Commission</w:t>
            </w:r>
          </w:p>
        </w:tc>
      </w:tr>
      <w:tr w:rsidR="00EF0C24" w:rsidRPr="00F74C06" w14:paraId="04CFFAFF" w14:textId="77777777" w:rsidTr="00F74C06">
        <w:trPr>
          <w:cantSplit/>
          <w:trHeight w:val="1113"/>
        </w:trPr>
        <w:tc>
          <w:tcPr>
            <w:tcW w:w="2406" w:type="dxa"/>
            <w:tcBorders>
              <w:top w:val="single" w:sz="24"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tcPr>
          <w:p w14:paraId="1A090454" w14:textId="77777777" w:rsidR="00F74C06" w:rsidRPr="00F74C06" w:rsidRDefault="00F74C06" w:rsidP="00F74C06">
            <w:pPr>
              <w:suppressAutoHyphens/>
              <w:autoSpaceDN w:val="0"/>
              <w:spacing w:after="0" w:line="240" w:lineRule="auto"/>
              <w:textAlignment w:val="baseline"/>
            </w:pPr>
            <w:r w:rsidRPr="00F74C06">
              <w:rPr>
                <w:rFonts w:eastAsia="Times New Roman"/>
                <w:b/>
                <w:bCs/>
                <w:color w:val="FFFFFF"/>
                <w:kern w:val="3"/>
                <w:lang w:eastAsia="en-GB"/>
              </w:rPr>
              <w:t xml:space="preserve">EC </w:t>
            </w:r>
          </w:p>
        </w:tc>
        <w:tc>
          <w:tcPr>
            <w:tcW w:w="1716" w:type="dxa"/>
            <w:tcBorders>
              <w:top w:val="single" w:sz="24" w:space="0" w:color="FFFFFF"/>
              <w:left w:val="single" w:sz="8" w:space="0" w:color="FFFFFF"/>
              <w:bottom w:val="single" w:sz="8" w:space="0" w:color="FFFFFF"/>
              <w:right w:val="single" w:sz="8" w:space="0" w:color="FFFFFF"/>
            </w:tcBorders>
            <w:shd w:val="clear" w:color="auto" w:fill="CBE2F2"/>
            <w:tcMar>
              <w:top w:w="15" w:type="dxa"/>
              <w:left w:w="101" w:type="dxa"/>
              <w:bottom w:w="0" w:type="dxa"/>
              <w:right w:w="101" w:type="dxa"/>
            </w:tcMar>
            <w:vAlign w:val="center"/>
          </w:tcPr>
          <w:p w14:paraId="66F7CFF9" w14:textId="77777777" w:rsidR="00F74C06" w:rsidRPr="00F74C06" w:rsidRDefault="00F74C06" w:rsidP="00F74C06">
            <w:pPr>
              <w:suppressAutoHyphens/>
              <w:autoSpaceDN w:val="0"/>
              <w:spacing w:after="0" w:line="240" w:lineRule="auto"/>
              <w:textAlignment w:val="baseline"/>
              <w:rPr>
                <w:rFonts w:eastAsia="Times New Roman"/>
                <w:b/>
                <w:bCs/>
                <w:color w:val="003399"/>
                <w:kern w:val="3"/>
                <w:lang w:eastAsia="en-GB"/>
              </w:rPr>
            </w:pPr>
            <w:r w:rsidRPr="00F74C06">
              <w:rPr>
                <w:rFonts w:eastAsia="Times New Roman"/>
                <w:b/>
                <w:bCs/>
                <w:color w:val="003399"/>
                <w:kern w:val="3"/>
                <w:lang w:eastAsia="en-GB"/>
              </w:rPr>
              <w:t>DG ENER</w:t>
            </w:r>
          </w:p>
        </w:tc>
        <w:tc>
          <w:tcPr>
            <w:tcW w:w="2518" w:type="dxa"/>
            <w:tcBorders>
              <w:top w:val="single" w:sz="24" w:space="0" w:color="FFFFFF"/>
              <w:left w:val="single" w:sz="8" w:space="0" w:color="FFFFFF"/>
              <w:bottom w:val="single" w:sz="8" w:space="0" w:color="FFFFFF"/>
              <w:right w:val="single" w:sz="8" w:space="0" w:color="FFFFFF"/>
            </w:tcBorders>
            <w:shd w:val="clear" w:color="auto" w:fill="CBE2F2"/>
            <w:tcMar>
              <w:top w:w="0" w:type="dxa"/>
              <w:left w:w="0" w:type="dxa"/>
              <w:bottom w:w="0" w:type="dxa"/>
              <w:right w:w="0" w:type="dxa"/>
            </w:tcMar>
          </w:tcPr>
          <w:p w14:paraId="4BF26BE8" w14:textId="77777777" w:rsidR="00F74C06" w:rsidRPr="00792657" w:rsidRDefault="00F74C06" w:rsidP="00F74C06">
            <w:pPr>
              <w:suppressAutoHyphens/>
              <w:autoSpaceDN w:val="0"/>
              <w:spacing w:after="0" w:line="240" w:lineRule="auto"/>
              <w:textAlignment w:val="baseline"/>
              <w:rPr>
                <w:color w:val="000099"/>
                <w:kern w:val="3"/>
              </w:rPr>
            </w:pPr>
            <w:r w:rsidRPr="00792657">
              <w:rPr>
                <w:color w:val="000099"/>
                <w:kern w:val="3"/>
              </w:rPr>
              <w:t xml:space="preserve">Manuel Sánchez Jiménez </w:t>
            </w:r>
          </w:p>
          <w:p w14:paraId="2E228510" w14:textId="77777777" w:rsidR="00F74C06" w:rsidRPr="00792657" w:rsidRDefault="00F74C06" w:rsidP="00F74C06">
            <w:pPr>
              <w:suppressAutoHyphens/>
              <w:autoSpaceDN w:val="0"/>
              <w:spacing w:after="0" w:line="240" w:lineRule="auto"/>
              <w:textAlignment w:val="baseline"/>
              <w:rPr>
                <w:color w:val="000099"/>
                <w:kern w:val="3"/>
              </w:rPr>
            </w:pPr>
            <w:r w:rsidRPr="00792657">
              <w:rPr>
                <w:color w:val="000099"/>
                <w:kern w:val="3"/>
              </w:rPr>
              <w:t>Constantina Filiou</w:t>
            </w:r>
          </w:p>
          <w:p w14:paraId="7D579239" w14:textId="77777777" w:rsidR="00F74C06" w:rsidRPr="00792657" w:rsidRDefault="00F74C06" w:rsidP="00F74C06">
            <w:pPr>
              <w:suppressAutoHyphens/>
              <w:autoSpaceDN w:val="0"/>
              <w:spacing w:after="0" w:line="240" w:lineRule="auto"/>
              <w:textAlignment w:val="baseline"/>
              <w:rPr>
                <w:color w:val="000099"/>
                <w:kern w:val="3"/>
              </w:rPr>
            </w:pPr>
            <w:r w:rsidRPr="00792657">
              <w:rPr>
                <w:color w:val="000099"/>
                <w:kern w:val="3"/>
              </w:rPr>
              <w:t>Niels Ladefoged</w:t>
            </w:r>
          </w:p>
          <w:p w14:paraId="4A8D7F5D" w14:textId="77777777" w:rsidR="00F74C06" w:rsidRDefault="00C2490C" w:rsidP="00F74C06">
            <w:pPr>
              <w:suppressAutoHyphens/>
              <w:autoSpaceDN w:val="0"/>
              <w:spacing w:after="0" w:line="240" w:lineRule="auto"/>
              <w:textAlignment w:val="baseline"/>
              <w:rPr>
                <w:rFonts w:eastAsia="Times New Roman"/>
                <w:color w:val="000099"/>
                <w:kern w:val="3"/>
                <w:lang w:val="pt-PT" w:eastAsia="en-GB"/>
              </w:rPr>
            </w:pPr>
            <w:r>
              <w:rPr>
                <w:rFonts w:eastAsia="Times New Roman"/>
                <w:color w:val="000099"/>
                <w:kern w:val="3"/>
                <w:lang w:val="pt-PT" w:eastAsia="en-GB"/>
              </w:rPr>
              <w:t>Mario Dionisio</w:t>
            </w:r>
          </w:p>
          <w:p w14:paraId="239185A0" w14:textId="1491C39E" w:rsidR="00C2490C" w:rsidRPr="00F74C06" w:rsidRDefault="00C2490C" w:rsidP="00F74C06">
            <w:pPr>
              <w:suppressAutoHyphens/>
              <w:autoSpaceDN w:val="0"/>
              <w:spacing w:after="0" w:line="240" w:lineRule="auto"/>
              <w:textAlignment w:val="baseline"/>
            </w:pPr>
            <w:r>
              <w:rPr>
                <w:rFonts w:eastAsia="Times New Roman"/>
                <w:color w:val="000099"/>
                <w:kern w:val="3"/>
                <w:lang w:val="pt-PT" w:eastAsia="en-GB"/>
              </w:rPr>
              <w:t>Michela Marasco</w:t>
            </w:r>
          </w:p>
        </w:tc>
        <w:tc>
          <w:tcPr>
            <w:tcW w:w="2970" w:type="dxa"/>
            <w:tcBorders>
              <w:top w:val="single" w:sz="24" w:space="0" w:color="FFFFFF"/>
              <w:left w:val="single" w:sz="8" w:space="0" w:color="FFFFFF"/>
              <w:bottom w:val="single" w:sz="8" w:space="0" w:color="FFFFFF"/>
              <w:right w:val="single" w:sz="8" w:space="0" w:color="FFFFFF"/>
            </w:tcBorders>
            <w:shd w:val="clear" w:color="auto" w:fill="CBE2F2"/>
            <w:tcMar>
              <w:top w:w="0" w:type="dxa"/>
              <w:left w:w="0" w:type="dxa"/>
              <w:bottom w:w="0" w:type="dxa"/>
              <w:right w:w="0" w:type="dxa"/>
            </w:tcMar>
          </w:tcPr>
          <w:p w14:paraId="20C01AC7" w14:textId="77777777" w:rsidR="00F74C06" w:rsidRPr="00F74C06" w:rsidRDefault="00F74C06" w:rsidP="00F74C06">
            <w:pPr>
              <w:suppressAutoHyphens/>
              <w:autoSpaceDN w:val="0"/>
              <w:spacing w:after="0" w:line="240" w:lineRule="auto"/>
              <w:textAlignment w:val="baseline"/>
              <w:rPr>
                <w:rFonts w:eastAsia="Times New Roman"/>
                <w:b/>
                <w:bCs/>
                <w:color w:val="003399"/>
                <w:kern w:val="3"/>
                <w:lang w:val="pt-PT" w:eastAsia="en-GB"/>
              </w:rPr>
            </w:pPr>
          </w:p>
        </w:tc>
      </w:tr>
      <w:tr w:rsidR="00EF0C24" w:rsidRPr="00F74C06" w14:paraId="21EC3F5D" w14:textId="77777777" w:rsidTr="00F74C06">
        <w:trPr>
          <w:cantSplit/>
          <w:trHeight w:hRule="exact" w:val="360"/>
        </w:trPr>
        <w:tc>
          <w:tcPr>
            <w:tcW w:w="2406" w:type="dxa"/>
            <w:tcBorders>
              <w:top w:val="single" w:sz="8"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tcPr>
          <w:p w14:paraId="39DCACAE" w14:textId="77777777" w:rsidR="00F74C06" w:rsidRPr="00F74C06" w:rsidRDefault="00F74C06" w:rsidP="00F74C06">
            <w:pPr>
              <w:suppressAutoHyphens/>
              <w:autoSpaceDN w:val="0"/>
              <w:spacing w:after="0" w:line="240" w:lineRule="auto"/>
              <w:ind w:left="567"/>
              <w:textAlignment w:val="baseline"/>
              <w:rPr>
                <w:rFonts w:eastAsia="Times New Roman"/>
                <w:lang w:val="pt-PT"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61D950D9" w14:textId="77777777" w:rsidR="00F74C06" w:rsidRPr="00F74C06" w:rsidRDefault="00F74C06" w:rsidP="00F74C06">
            <w:pPr>
              <w:suppressAutoHyphens/>
              <w:autoSpaceDN w:val="0"/>
              <w:spacing w:after="0" w:line="240" w:lineRule="auto"/>
              <w:textAlignment w:val="baseline"/>
              <w:rPr>
                <w:rFonts w:eastAsia="Times New Roman"/>
                <w:b/>
                <w:bCs/>
                <w:color w:val="003399"/>
                <w:kern w:val="3"/>
                <w:lang w:eastAsia="en-GB"/>
              </w:rPr>
            </w:pPr>
            <w:r w:rsidRPr="00F74C06">
              <w:rPr>
                <w:rFonts w:eastAsia="Times New Roman"/>
                <w:b/>
                <w:bCs/>
                <w:color w:val="003399"/>
                <w:kern w:val="3"/>
                <w:lang w:eastAsia="en-GB"/>
              </w:rPr>
              <w:t>DG CNECT</w:t>
            </w:r>
          </w:p>
        </w:tc>
        <w:tc>
          <w:tcPr>
            <w:tcW w:w="2518"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tcPr>
          <w:p w14:paraId="68FF732A" w14:textId="77777777" w:rsidR="00F74C06" w:rsidRPr="00F74C06" w:rsidRDefault="00F74C06" w:rsidP="00F74C06">
            <w:pPr>
              <w:suppressAutoHyphens/>
              <w:autoSpaceDN w:val="0"/>
              <w:spacing w:after="0" w:line="240" w:lineRule="auto"/>
              <w:textAlignment w:val="baseline"/>
            </w:pPr>
            <w:r w:rsidRPr="00F74C06">
              <w:rPr>
                <w:rFonts w:eastAsia="Times New Roman"/>
                <w:color w:val="000099"/>
                <w:kern w:val="3"/>
                <w:lang w:eastAsia="en-GB"/>
              </w:rPr>
              <w:t>Patricia Arsene</w:t>
            </w:r>
          </w:p>
        </w:tc>
        <w:tc>
          <w:tcPr>
            <w:tcW w:w="2970"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tcPr>
          <w:p w14:paraId="2AF20666" w14:textId="77777777" w:rsidR="00F74C06" w:rsidRPr="00F74C06" w:rsidRDefault="00F74C06" w:rsidP="00F74C06">
            <w:pPr>
              <w:suppressAutoHyphens/>
              <w:autoSpaceDN w:val="0"/>
              <w:spacing w:after="0" w:line="240" w:lineRule="auto"/>
              <w:textAlignment w:val="baseline"/>
              <w:rPr>
                <w:rFonts w:eastAsia="Times New Roman"/>
                <w:b/>
                <w:bCs/>
                <w:color w:val="003399"/>
                <w:kern w:val="3"/>
                <w:lang w:eastAsia="en-GB"/>
              </w:rPr>
            </w:pPr>
          </w:p>
        </w:tc>
      </w:tr>
      <w:tr w:rsidR="00EF0C24" w:rsidRPr="00F74C06" w14:paraId="7135148E" w14:textId="77777777" w:rsidTr="007605AA">
        <w:trPr>
          <w:cantSplit/>
          <w:trHeight w:hRule="exact" w:val="381"/>
        </w:trPr>
        <w:tc>
          <w:tcPr>
            <w:tcW w:w="2406" w:type="dxa"/>
            <w:tcBorders>
              <w:top w:val="single" w:sz="8"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tcPr>
          <w:p w14:paraId="7F47911F" w14:textId="77777777" w:rsidR="00F74C06" w:rsidRPr="00F74C06" w:rsidRDefault="00F74C06" w:rsidP="00F74C06">
            <w:pPr>
              <w:suppressAutoHyphens/>
              <w:autoSpaceDN w:val="0"/>
              <w:spacing w:after="0" w:line="240" w:lineRule="auto"/>
              <w:ind w:left="567"/>
              <w:textAlignment w:val="baseline"/>
              <w:rPr>
                <w:rFonts w:eastAsia="Times New Roman"/>
                <w:lang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77975742" w14:textId="77777777" w:rsidR="00F74C06" w:rsidRPr="00F74C06" w:rsidRDefault="00F74C06" w:rsidP="00F74C06">
            <w:pPr>
              <w:suppressAutoHyphens/>
              <w:autoSpaceDN w:val="0"/>
              <w:spacing w:after="0" w:line="240" w:lineRule="auto"/>
              <w:textAlignment w:val="baseline"/>
              <w:rPr>
                <w:rFonts w:eastAsia="Times New Roman"/>
                <w:b/>
                <w:bCs/>
                <w:color w:val="003399"/>
                <w:kern w:val="3"/>
                <w:lang w:eastAsia="en-GB"/>
              </w:rPr>
            </w:pPr>
            <w:r w:rsidRPr="00F74C06">
              <w:rPr>
                <w:rFonts w:eastAsia="Times New Roman"/>
                <w:b/>
                <w:bCs/>
                <w:color w:val="003399"/>
                <w:kern w:val="3"/>
                <w:lang w:eastAsia="en-GB"/>
              </w:rPr>
              <w:t>DG GROW</w:t>
            </w:r>
          </w:p>
        </w:tc>
        <w:tc>
          <w:tcPr>
            <w:tcW w:w="2518"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tcPr>
          <w:p w14:paraId="5EEC8041" w14:textId="024AADC7" w:rsidR="00F74C06" w:rsidRPr="00F74C06" w:rsidRDefault="00F74C06" w:rsidP="00F74C06">
            <w:pPr>
              <w:suppressAutoHyphens/>
              <w:autoSpaceDN w:val="0"/>
              <w:spacing w:after="0" w:line="240" w:lineRule="auto"/>
              <w:textAlignment w:val="baseline"/>
            </w:pPr>
            <w:proofErr w:type="spellStart"/>
            <w:r w:rsidRPr="00F74C06">
              <w:rPr>
                <w:rFonts w:eastAsia="Times New Roman"/>
                <w:color w:val="000099"/>
                <w:kern w:val="3"/>
                <w:lang w:val="en-GB" w:eastAsia="en-GB"/>
              </w:rPr>
              <w:t>Zsuzsanna</w:t>
            </w:r>
            <w:proofErr w:type="spellEnd"/>
            <w:r w:rsidRPr="00F74C06">
              <w:rPr>
                <w:rFonts w:eastAsia="Times New Roman"/>
                <w:color w:val="000099"/>
                <w:kern w:val="3"/>
                <w:lang w:val="en-GB" w:eastAsia="en-GB"/>
              </w:rPr>
              <w:t xml:space="preserve"> </w:t>
            </w:r>
            <w:proofErr w:type="spellStart"/>
            <w:r w:rsidRPr="00F74C06">
              <w:rPr>
                <w:rFonts w:eastAsia="Times New Roman"/>
                <w:color w:val="000099"/>
                <w:kern w:val="3"/>
                <w:lang w:val="en-GB" w:eastAsia="en-GB"/>
              </w:rPr>
              <w:t>Dakai</w:t>
            </w:r>
            <w:proofErr w:type="spellEnd"/>
            <w:r w:rsidRPr="00F74C06">
              <w:rPr>
                <w:rFonts w:eastAsia="Times New Roman"/>
                <w:color w:val="000099"/>
                <w:kern w:val="3"/>
                <w:lang w:val="en-GB" w:eastAsia="en-GB"/>
              </w:rPr>
              <w:t xml:space="preserve"> </w:t>
            </w:r>
          </w:p>
        </w:tc>
        <w:tc>
          <w:tcPr>
            <w:tcW w:w="2970"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tcPr>
          <w:p w14:paraId="320126AA" w14:textId="77777777" w:rsidR="00F74C06" w:rsidRPr="00F74C06" w:rsidRDefault="00F74C06" w:rsidP="00F74C06">
            <w:pPr>
              <w:suppressAutoHyphens/>
              <w:autoSpaceDN w:val="0"/>
              <w:spacing w:after="0" w:line="240" w:lineRule="auto"/>
              <w:textAlignment w:val="baseline"/>
              <w:rPr>
                <w:rFonts w:eastAsia="Times New Roman"/>
                <w:b/>
                <w:bCs/>
                <w:color w:val="003399"/>
                <w:kern w:val="3"/>
                <w:lang w:eastAsia="en-GB"/>
              </w:rPr>
            </w:pPr>
          </w:p>
        </w:tc>
      </w:tr>
      <w:tr w:rsidR="00EF0C24" w:rsidRPr="00F2268F" w14:paraId="51829D56" w14:textId="77777777" w:rsidTr="00F74C06">
        <w:trPr>
          <w:cantSplit/>
        </w:trPr>
        <w:tc>
          <w:tcPr>
            <w:tcW w:w="2406" w:type="dxa"/>
            <w:tcBorders>
              <w:top w:val="single" w:sz="8"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tcPr>
          <w:p w14:paraId="1C6292C2" w14:textId="77777777" w:rsidR="00F74C06" w:rsidRPr="00F74C06" w:rsidRDefault="00F74C06" w:rsidP="00F74C06">
            <w:pPr>
              <w:suppressAutoHyphens/>
              <w:autoSpaceDN w:val="0"/>
              <w:spacing w:after="0" w:line="240" w:lineRule="auto"/>
              <w:ind w:left="567"/>
              <w:textAlignment w:val="baseline"/>
              <w:rPr>
                <w:rFonts w:eastAsia="Times New Roman"/>
                <w:lang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0CA4EA08" w14:textId="77777777" w:rsidR="00F74C06" w:rsidRPr="00F74C06" w:rsidRDefault="00F74C06" w:rsidP="00F74C06">
            <w:pPr>
              <w:suppressAutoHyphens/>
              <w:autoSpaceDN w:val="0"/>
              <w:spacing w:after="0" w:line="240" w:lineRule="auto"/>
              <w:textAlignment w:val="baseline"/>
              <w:rPr>
                <w:rFonts w:eastAsia="Times New Roman"/>
                <w:b/>
                <w:bCs/>
                <w:color w:val="003399"/>
                <w:kern w:val="3"/>
                <w:lang w:eastAsia="en-GB"/>
              </w:rPr>
            </w:pPr>
            <w:r w:rsidRPr="00F74C06">
              <w:rPr>
                <w:rFonts w:eastAsia="Times New Roman"/>
                <w:b/>
                <w:bCs/>
                <w:color w:val="003399"/>
                <w:kern w:val="3"/>
                <w:lang w:eastAsia="en-GB"/>
              </w:rPr>
              <w:t>DG JRC</w:t>
            </w:r>
          </w:p>
        </w:tc>
        <w:tc>
          <w:tcPr>
            <w:tcW w:w="2518"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tcPr>
          <w:p w14:paraId="2DB2E84F" w14:textId="77777777" w:rsidR="00F74C06" w:rsidRPr="00F74C06" w:rsidRDefault="00F74C06" w:rsidP="00F74C06">
            <w:pPr>
              <w:suppressAutoHyphens/>
              <w:autoSpaceDN w:val="0"/>
              <w:spacing w:after="0" w:line="240" w:lineRule="auto"/>
              <w:textAlignment w:val="baseline"/>
              <w:rPr>
                <w:rFonts w:eastAsia="Times New Roman"/>
                <w:color w:val="000099"/>
                <w:kern w:val="3"/>
                <w:lang w:val="pt-PT" w:eastAsia="en-GB"/>
              </w:rPr>
            </w:pPr>
            <w:r w:rsidRPr="00F74C06">
              <w:rPr>
                <w:rFonts w:eastAsia="Times New Roman"/>
                <w:color w:val="000099"/>
                <w:kern w:val="3"/>
                <w:lang w:val="pt-PT" w:eastAsia="en-GB"/>
              </w:rPr>
              <w:t>Ioulia Papaioannou</w:t>
            </w:r>
          </w:p>
          <w:p w14:paraId="4386E967" w14:textId="77777777" w:rsidR="00F74C06" w:rsidRPr="00F74C06" w:rsidRDefault="00F74C06" w:rsidP="00F74C06">
            <w:pPr>
              <w:suppressAutoHyphens/>
              <w:autoSpaceDN w:val="0"/>
              <w:spacing w:after="0" w:line="240" w:lineRule="auto"/>
              <w:textAlignment w:val="baseline"/>
              <w:rPr>
                <w:rFonts w:eastAsia="Times New Roman"/>
                <w:color w:val="000099"/>
                <w:kern w:val="3"/>
                <w:lang w:val="pt-PT" w:eastAsia="en-GB"/>
              </w:rPr>
            </w:pPr>
            <w:r w:rsidRPr="00F74C06">
              <w:rPr>
                <w:rFonts w:eastAsia="Times New Roman"/>
                <w:color w:val="000099"/>
                <w:kern w:val="3"/>
                <w:lang w:val="pt-PT" w:eastAsia="en-GB"/>
              </w:rPr>
              <w:t>Nikoleta Andreadou</w:t>
            </w:r>
          </w:p>
          <w:p w14:paraId="29B4F1EE" w14:textId="77777777" w:rsidR="00F74C06" w:rsidRPr="00F74C06" w:rsidRDefault="00F74C06" w:rsidP="00F74C06">
            <w:pPr>
              <w:suppressAutoHyphens/>
              <w:autoSpaceDN w:val="0"/>
              <w:spacing w:after="0" w:line="240" w:lineRule="auto"/>
              <w:textAlignment w:val="baseline"/>
              <w:rPr>
                <w:rFonts w:eastAsia="Times New Roman"/>
                <w:color w:val="000099"/>
                <w:kern w:val="3"/>
                <w:lang w:val="pt-PT" w:eastAsia="en-GB"/>
              </w:rPr>
            </w:pPr>
            <w:r w:rsidRPr="00F74C06">
              <w:rPr>
                <w:rFonts w:eastAsia="Times New Roman"/>
                <w:color w:val="000099"/>
                <w:kern w:val="3"/>
                <w:lang w:val="pt-PT" w:eastAsia="en-GB"/>
              </w:rPr>
              <w:t>Igor Nai Fovino</w:t>
            </w:r>
          </w:p>
        </w:tc>
        <w:tc>
          <w:tcPr>
            <w:tcW w:w="2970"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tcPr>
          <w:p w14:paraId="1DB20550" w14:textId="77777777" w:rsidR="00F74C06" w:rsidRPr="00F74C06" w:rsidRDefault="00F74C06" w:rsidP="00F74C06">
            <w:pPr>
              <w:suppressAutoHyphens/>
              <w:autoSpaceDN w:val="0"/>
              <w:spacing w:after="0" w:line="240" w:lineRule="auto"/>
              <w:textAlignment w:val="baseline"/>
              <w:rPr>
                <w:rFonts w:eastAsia="Times New Roman"/>
                <w:b/>
                <w:bCs/>
                <w:color w:val="003399"/>
                <w:kern w:val="3"/>
                <w:lang w:val="pt-PT" w:eastAsia="en-GB"/>
              </w:rPr>
            </w:pPr>
          </w:p>
        </w:tc>
      </w:tr>
      <w:tr w:rsidR="00EF0C24" w:rsidRPr="00F74C06" w14:paraId="2C4E300E" w14:textId="77777777" w:rsidTr="00F74C06">
        <w:trPr>
          <w:cantSplit/>
          <w:trHeight w:hRule="exact" w:val="360"/>
        </w:trPr>
        <w:tc>
          <w:tcPr>
            <w:tcW w:w="2406" w:type="dxa"/>
            <w:tcBorders>
              <w:top w:val="single" w:sz="8"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tcPr>
          <w:p w14:paraId="1ADACCD4" w14:textId="77777777" w:rsidR="00F74C06" w:rsidRPr="00F74C06" w:rsidRDefault="00F74C06" w:rsidP="00F74C06">
            <w:pPr>
              <w:suppressAutoHyphens/>
              <w:autoSpaceDN w:val="0"/>
              <w:spacing w:after="0" w:line="240" w:lineRule="auto"/>
              <w:ind w:left="567"/>
              <w:textAlignment w:val="baseline"/>
              <w:rPr>
                <w:rFonts w:eastAsia="Times New Roman"/>
                <w:lang w:val="pt-PT"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56F099A9" w14:textId="77777777" w:rsidR="00F74C06" w:rsidRPr="00F74C06" w:rsidRDefault="00F74C06" w:rsidP="00F74C06">
            <w:pPr>
              <w:suppressAutoHyphens/>
              <w:autoSpaceDN w:val="0"/>
              <w:spacing w:after="0" w:line="240" w:lineRule="auto"/>
              <w:textAlignment w:val="baseline"/>
              <w:rPr>
                <w:rFonts w:eastAsia="Times New Roman"/>
                <w:b/>
                <w:bCs/>
                <w:color w:val="003399"/>
                <w:kern w:val="3"/>
                <w:lang w:eastAsia="en-GB"/>
              </w:rPr>
            </w:pPr>
            <w:r w:rsidRPr="00F74C06">
              <w:rPr>
                <w:rFonts w:eastAsia="Times New Roman"/>
                <w:b/>
                <w:bCs/>
                <w:color w:val="003399"/>
                <w:kern w:val="3"/>
                <w:lang w:eastAsia="en-GB"/>
              </w:rPr>
              <w:t>DG JUST</w:t>
            </w:r>
          </w:p>
        </w:tc>
        <w:tc>
          <w:tcPr>
            <w:tcW w:w="2518"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tcPr>
          <w:p w14:paraId="6743CE85" w14:textId="77777777" w:rsidR="00F74C06" w:rsidRPr="00F74C06" w:rsidRDefault="00F74C06" w:rsidP="00F74C06">
            <w:pPr>
              <w:suppressAutoHyphens/>
              <w:autoSpaceDN w:val="0"/>
              <w:spacing w:after="0" w:line="240" w:lineRule="auto"/>
              <w:textAlignment w:val="baseline"/>
              <w:rPr>
                <w:rFonts w:eastAsia="Times New Roman"/>
                <w:color w:val="000099"/>
                <w:kern w:val="3"/>
                <w:lang w:eastAsia="en-GB"/>
              </w:rPr>
            </w:pPr>
            <w:r w:rsidRPr="00F74C06">
              <w:rPr>
                <w:rFonts w:eastAsia="Times New Roman"/>
                <w:color w:val="000099"/>
                <w:kern w:val="3"/>
                <w:lang w:eastAsia="en-GB"/>
              </w:rPr>
              <w:t>Georgios Kiriazis</w:t>
            </w:r>
          </w:p>
        </w:tc>
        <w:tc>
          <w:tcPr>
            <w:tcW w:w="2970"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tcPr>
          <w:p w14:paraId="2F56B443" w14:textId="77777777" w:rsidR="00F74C06" w:rsidRPr="00F74C06" w:rsidRDefault="00F74C06" w:rsidP="00F74C06">
            <w:pPr>
              <w:suppressAutoHyphens/>
              <w:autoSpaceDN w:val="0"/>
              <w:spacing w:after="0" w:line="240" w:lineRule="auto"/>
              <w:textAlignment w:val="baseline"/>
              <w:rPr>
                <w:rFonts w:eastAsia="Times New Roman"/>
                <w:b/>
                <w:bCs/>
                <w:color w:val="003399"/>
                <w:kern w:val="3"/>
                <w:lang w:eastAsia="en-GB"/>
              </w:rPr>
            </w:pPr>
          </w:p>
        </w:tc>
      </w:tr>
      <w:tr w:rsidR="00EF0C24" w:rsidRPr="00F74C06" w14:paraId="0B802776" w14:textId="77777777" w:rsidTr="00F74C06">
        <w:trPr>
          <w:cantSplit/>
          <w:trHeight w:hRule="exact" w:val="360"/>
        </w:trPr>
        <w:tc>
          <w:tcPr>
            <w:tcW w:w="2406" w:type="dxa"/>
            <w:tcBorders>
              <w:top w:val="single" w:sz="8"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tcPr>
          <w:p w14:paraId="4E964806" w14:textId="77777777" w:rsidR="00F74C06" w:rsidRPr="00F74C06" w:rsidRDefault="00F74C06" w:rsidP="00F74C06">
            <w:pPr>
              <w:suppressAutoHyphens/>
              <w:autoSpaceDN w:val="0"/>
              <w:spacing w:after="0" w:line="240" w:lineRule="auto"/>
              <w:ind w:left="567"/>
              <w:textAlignment w:val="baseline"/>
              <w:rPr>
                <w:rFonts w:eastAsia="Times New Roman"/>
                <w:lang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7655FE32" w14:textId="77777777" w:rsidR="00F74C06" w:rsidRPr="00F74C06" w:rsidRDefault="00F74C06" w:rsidP="00F74C06">
            <w:pPr>
              <w:suppressAutoHyphens/>
              <w:autoSpaceDN w:val="0"/>
              <w:spacing w:after="0" w:line="240" w:lineRule="auto"/>
              <w:textAlignment w:val="baseline"/>
              <w:rPr>
                <w:rFonts w:eastAsia="Times New Roman"/>
                <w:b/>
                <w:bCs/>
                <w:color w:val="003399"/>
                <w:kern w:val="3"/>
                <w:lang w:eastAsia="en-GB"/>
              </w:rPr>
            </w:pPr>
            <w:r w:rsidRPr="00F74C06">
              <w:rPr>
                <w:rFonts w:eastAsia="Times New Roman"/>
                <w:b/>
                <w:bCs/>
                <w:color w:val="003399"/>
                <w:kern w:val="3"/>
                <w:lang w:eastAsia="en-GB"/>
              </w:rPr>
              <w:t>DG RTD</w:t>
            </w:r>
          </w:p>
        </w:tc>
        <w:tc>
          <w:tcPr>
            <w:tcW w:w="2518"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tcPr>
          <w:p w14:paraId="5C05B335" w14:textId="77777777" w:rsidR="00F74C06" w:rsidRPr="00F74C06" w:rsidRDefault="00F74C06" w:rsidP="00F74C06">
            <w:pPr>
              <w:suppressAutoHyphens/>
              <w:autoSpaceDN w:val="0"/>
              <w:spacing w:after="0" w:line="240" w:lineRule="auto"/>
              <w:textAlignment w:val="baseline"/>
              <w:rPr>
                <w:rFonts w:eastAsia="Times New Roman"/>
                <w:color w:val="000099"/>
                <w:kern w:val="3"/>
                <w:lang w:eastAsia="en-GB"/>
              </w:rPr>
            </w:pPr>
            <w:r w:rsidRPr="00F74C06">
              <w:rPr>
                <w:rFonts w:eastAsia="Times New Roman"/>
                <w:color w:val="000099"/>
                <w:kern w:val="3"/>
                <w:lang w:eastAsia="en-GB"/>
              </w:rPr>
              <w:t>Patrick van Hove</w:t>
            </w:r>
          </w:p>
        </w:tc>
        <w:tc>
          <w:tcPr>
            <w:tcW w:w="2970"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tcPr>
          <w:p w14:paraId="61B8D996" w14:textId="77777777" w:rsidR="00F74C06" w:rsidRPr="00F74C06" w:rsidRDefault="00F74C06" w:rsidP="00F74C06">
            <w:pPr>
              <w:suppressAutoHyphens/>
              <w:autoSpaceDN w:val="0"/>
              <w:spacing w:after="0" w:line="240" w:lineRule="auto"/>
              <w:textAlignment w:val="baseline"/>
              <w:rPr>
                <w:rFonts w:eastAsia="Times New Roman"/>
                <w:b/>
                <w:bCs/>
                <w:color w:val="003399"/>
                <w:kern w:val="3"/>
                <w:lang w:eastAsia="en-GB"/>
              </w:rPr>
            </w:pPr>
          </w:p>
        </w:tc>
      </w:tr>
      <w:tr w:rsidR="00EF0C24" w:rsidRPr="00F74C06" w14:paraId="3C261C09" w14:textId="77777777" w:rsidTr="00F74C06">
        <w:trPr>
          <w:cantSplit/>
          <w:trHeight w:hRule="exact" w:val="360"/>
        </w:trPr>
        <w:tc>
          <w:tcPr>
            <w:tcW w:w="2406" w:type="dxa"/>
            <w:tcBorders>
              <w:top w:val="single" w:sz="8"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tcPr>
          <w:p w14:paraId="4E7696C9" w14:textId="77777777" w:rsidR="00F74C06" w:rsidRPr="00F74C06" w:rsidRDefault="00F74C06" w:rsidP="00F74C06">
            <w:pPr>
              <w:suppressAutoHyphens/>
              <w:autoSpaceDN w:val="0"/>
              <w:spacing w:after="0" w:line="240" w:lineRule="auto"/>
              <w:ind w:left="567"/>
              <w:textAlignment w:val="baseline"/>
              <w:rPr>
                <w:rFonts w:eastAsia="Times New Roman"/>
                <w:lang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36836A59" w14:textId="77777777" w:rsidR="00F74C06" w:rsidRPr="00F74C06" w:rsidRDefault="00F74C06" w:rsidP="00F74C06">
            <w:pPr>
              <w:suppressAutoHyphens/>
              <w:autoSpaceDN w:val="0"/>
              <w:spacing w:after="0" w:line="240" w:lineRule="auto"/>
              <w:textAlignment w:val="baseline"/>
              <w:rPr>
                <w:rFonts w:eastAsia="Times New Roman"/>
                <w:b/>
                <w:bCs/>
                <w:color w:val="003399"/>
                <w:kern w:val="3"/>
                <w:lang w:eastAsia="en-GB"/>
              </w:rPr>
            </w:pPr>
            <w:r w:rsidRPr="00F74C06">
              <w:rPr>
                <w:rFonts w:eastAsia="Times New Roman"/>
                <w:b/>
                <w:bCs/>
                <w:color w:val="003399"/>
                <w:kern w:val="3"/>
                <w:lang w:eastAsia="en-GB"/>
              </w:rPr>
              <w:t>INEA</w:t>
            </w:r>
          </w:p>
        </w:tc>
        <w:tc>
          <w:tcPr>
            <w:tcW w:w="2518"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tcPr>
          <w:p w14:paraId="6A939D30" w14:textId="77777777" w:rsidR="00F74C06" w:rsidRPr="00F74C06" w:rsidRDefault="00F74C06" w:rsidP="00F74C06">
            <w:pPr>
              <w:suppressAutoHyphens/>
              <w:autoSpaceDN w:val="0"/>
              <w:spacing w:after="0" w:line="240" w:lineRule="auto"/>
              <w:textAlignment w:val="baseline"/>
              <w:rPr>
                <w:rFonts w:eastAsia="Times New Roman"/>
                <w:color w:val="000099"/>
                <w:kern w:val="3"/>
                <w:lang w:eastAsia="en-GB"/>
              </w:rPr>
            </w:pPr>
            <w:r w:rsidRPr="00F74C06">
              <w:rPr>
                <w:rFonts w:eastAsia="Times New Roman"/>
                <w:color w:val="000099"/>
                <w:kern w:val="3"/>
                <w:lang w:eastAsia="en-GB"/>
              </w:rPr>
              <w:t>Mariana Stantcheva</w:t>
            </w:r>
          </w:p>
        </w:tc>
        <w:tc>
          <w:tcPr>
            <w:tcW w:w="2970"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tcPr>
          <w:p w14:paraId="3C0237DE" w14:textId="77777777" w:rsidR="00F74C06" w:rsidRPr="00F74C06" w:rsidRDefault="00F74C06" w:rsidP="00F74C06">
            <w:pPr>
              <w:suppressAutoHyphens/>
              <w:autoSpaceDN w:val="0"/>
              <w:spacing w:after="0" w:line="240" w:lineRule="auto"/>
              <w:textAlignment w:val="baseline"/>
              <w:rPr>
                <w:rFonts w:eastAsia="Times New Roman"/>
                <w:b/>
                <w:bCs/>
                <w:color w:val="003399"/>
                <w:kern w:val="3"/>
                <w:lang w:eastAsia="en-GB"/>
              </w:rPr>
            </w:pPr>
          </w:p>
        </w:tc>
      </w:tr>
      <w:tr w:rsidR="00EF0C24" w:rsidRPr="00F74C06" w14:paraId="34E43C8C" w14:textId="77777777" w:rsidTr="00F74C06">
        <w:trPr>
          <w:cantSplit/>
        </w:trPr>
        <w:tc>
          <w:tcPr>
            <w:tcW w:w="2406" w:type="dxa"/>
            <w:tcBorders>
              <w:top w:val="single" w:sz="8" w:space="0" w:color="FFFFFF"/>
              <w:left w:val="single" w:sz="8" w:space="0" w:color="FFFFFF"/>
              <w:bottom w:val="single" w:sz="24" w:space="0" w:color="FFFFFF"/>
              <w:right w:val="single" w:sz="8" w:space="0" w:color="FFFFFF"/>
            </w:tcBorders>
            <w:shd w:val="clear" w:color="auto" w:fill="03A9DD"/>
            <w:tcMar>
              <w:top w:w="15" w:type="dxa"/>
              <w:left w:w="101" w:type="dxa"/>
              <w:bottom w:w="0" w:type="dxa"/>
              <w:right w:w="101" w:type="dxa"/>
            </w:tcMar>
          </w:tcPr>
          <w:p w14:paraId="1D0E5DB0" w14:textId="77777777" w:rsidR="00F74C06" w:rsidRPr="00F74C06" w:rsidRDefault="00F74C06" w:rsidP="00F74C06">
            <w:pPr>
              <w:suppressAutoHyphens/>
              <w:autoSpaceDN w:val="0"/>
              <w:spacing w:after="0" w:line="240" w:lineRule="auto"/>
              <w:textAlignment w:val="baseline"/>
            </w:pPr>
            <w:r w:rsidRPr="00F74C06">
              <w:rPr>
                <w:rFonts w:eastAsia="Times New Roman"/>
                <w:b/>
                <w:bCs/>
                <w:color w:val="FFFFFF"/>
                <w:kern w:val="3"/>
                <w:sz w:val="24"/>
                <w:szCs w:val="24"/>
                <w:lang w:eastAsia="en-GB"/>
              </w:rPr>
              <w:t> </w:t>
            </w:r>
          </w:p>
        </w:tc>
        <w:tc>
          <w:tcPr>
            <w:tcW w:w="1716" w:type="dxa"/>
            <w:tcBorders>
              <w:top w:val="single" w:sz="8" w:space="0" w:color="FFFFFF"/>
              <w:left w:val="single" w:sz="8" w:space="0" w:color="FFFFFF"/>
              <w:bottom w:val="single" w:sz="24" w:space="0" w:color="FFFFFF"/>
              <w:right w:val="single" w:sz="8" w:space="0" w:color="FFFFFF"/>
            </w:tcBorders>
            <w:shd w:val="clear" w:color="auto" w:fill="03A9DD"/>
            <w:tcMar>
              <w:top w:w="15" w:type="dxa"/>
              <w:left w:w="101" w:type="dxa"/>
              <w:bottom w:w="0" w:type="dxa"/>
              <w:right w:w="101" w:type="dxa"/>
            </w:tcMar>
            <w:vAlign w:val="center"/>
          </w:tcPr>
          <w:p w14:paraId="4B2CE94D" w14:textId="77777777" w:rsidR="00F74C06" w:rsidRPr="00F74C06" w:rsidRDefault="00F74C06" w:rsidP="00F74C06">
            <w:pPr>
              <w:suppressAutoHyphens/>
              <w:autoSpaceDN w:val="0"/>
              <w:spacing w:after="0" w:line="240" w:lineRule="auto"/>
              <w:textAlignment w:val="baseline"/>
            </w:pPr>
            <w:r w:rsidRPr="00F74C06">
              <w:rPr>
                <w:rFonts w:eastAsia="Times New Roman"/>
                <w:b/>
                <w:bCs/>
                <w:color w:val="FFFFFF"/>
                <w:kern w:val="3"/>
                <w:sz w:val="24"/>
                <w:szCs w:val="24"/>
                <w:lang w:eastAsia="en-GB"/>
              </w:rPr>
              <w:t>Association</w:t>
            </w:r>
          </w:p>
        </w:tc>
        <w:tc>
          <w:tcPr>
            <w:tcW w:w="2518" w:type="dxa"/>
            <w:tcBorders>
              <w:top w:val="single" w:sz="8" w:space="0" w:color="FFFFFF"/>
              <w:left w:val="single" w:sz="8" w:space="0" w:color="FFFFFF"/>
              <w:bottom w:val="single" w:sz="24" w:space="0" w:color="FFFFFF"/>
              <w:right w:val="single" w:sz="8" w:space="0" w:color="FFFFFF"/>
            </w:tcBorders>
            <w:shd w:val="clear" w:color="auto" w:fill="03A9DD"/>
            <w:tcMar>
              <w:top w:w="0" w:type="dxa"/>
              <w:left w:w="0" w:type="dxa"/>
              <w:bottom w:w="0" w:type="dxa"/>
              <w:right w:w="0" w:type="dxa"/>
            </w:tcMar>
          </w:tcPr>
          <w:p w14:paraId="14FF09F0" w14:textId="77777777" w:rsidR="00F74C06" w:rsidRPr="00F74C06" w:rsidRDefault="00F74C06" w:rsidP="00F74C06">
            <w:pPr>
              <w:suppressAutoHyphens/>
              <w:autoSpaceDN w:val="0"/>
              <w:spacing w:after="0" w:line="240" w:lineRule="auto"/>
              <w:textAlignment w:val="baseline"/>
              <w:rPr>
                <w:rFonts w:eastAsia="Times New Roman"/>
                <w:b/>
                <w:bCs/>
                <w:color w:val="FFFFFF"/>
                <w:kern w:val="3"/>
                <w:sz w:val="24"/>
                <w:szCs w:val="24"/>
                <w:lang w:eastAsia="en-GB"/>
              </w:rPr>
            </w:pPr>
            <w:r w:rsidRPr="00F74C06">
              <w:rPr>
                <w:rFonts w:eastAsia="Times New Roman"/>
                <w:b/>
                <w:bCs/>
                <w:color w:val="FFFFFF"/>
                <w:kern w:val="3"/>
                <w:sz w:val="24"/>
                <w:szCs w:val="24"/>
                <w:lang w:eastAsia="en-GB"/>
              </w:rPr>
              <w:t>Expert</w:t>
            </w:r>
          </w:p>
        </w:tc>
        <w:tc>
          <w:tcPr>
            <w:tcW w:w="2970" w:type="dxa"/>
            <w:tcBorders>
              <w:top w:val="single" w:sz="8" w:space="0" w:color="FFFFFF"/>
              <w:left w:val="single" w:sz="8" w:space="0" w:color="FFFFFF"/>
              <w:bottom w:val="single" w:sz="24" w:space="0" w:color="FFFFFF"/>
              <w:right w:val="single" w:sz="8" w:space="0" w:color="FFFFFF"/>
            </w:tcBorders>
            <w:shd w:val="clear" w:color="auto" w:fill="03A9DD"/>
            <w:tcMar>
              <w:top w:w="0" w:type="dxa"/>
              <w:left w:w="0" w:type="dxa"/>
              <w:bottom w:w="0" w:type="dxa"/>
              <w:right w:w="0" w:type="dxa"/>
            </w:tcMar>
          </w:tcPr>
          <w:p w14:paraId="172D034C" w14:textId="77777777" w:rsidR="00F74C06" w:rsidRPr="00F74C06" w:rsidRDefault="00F74C06" w:rsidP="00F74C06">
            <w:pPr>
              <w:suppressAutoHyphens/>
              <w:autoSpaceDN w:val="0"/>
              <w:spacing w:after="0" w:line="240" w:lineRule="auto"/>
              <w:textAlignment w:val="baseline"/>
              <w:rPr>
                <w:rFonts w:eastAsia="Times New Roman"/>
                <w:b/>
                <w:bCs/>
                <w:color w:val="FFFFFF"/>
                <w:kern w:val="3"/>
                <w:sz w:val="24"/>
                <w:szCs w:val="24"/>
                <w:lang w:eastAsia="en-GB"/>
              </w:rPr>
            </w:pPr>
            <w:r w:rsidRPr="00F74C06">
              <w:rPr>
                <w:rFonts w:eastAsia="Times New Roman"/>
                <w:b/>
                <w:bCs/>
                <w:color w:val="FFFFFF"/>
                <w:kern w:val="3"/>
                <w:sz w:val="24"/>
                <w:szCs w:val="24"/>
                <w:lang w:eastAsia="en-GB"/>
              </w:rPr>
              <w:t>Alternate</w:t>
            </w:r>
          </w:p>
        </w:tc>
      </w:tr>
      <w:tr w:rsidR="00EF0C24" w:rsidRPr="00F74C06" w14:paraId="2D3AFF11" w14:textId="77777777" w:rsidTr="00F74C06">
        <w:trPr>
          <w:trHeight w:hRule="exact" w:val="360"/>
        </w:trPr>
        <w:tc>
          <w:tcPr>
            <w:tcW w:w="2406" w:type="dxa"/>
            <w:vMerge w:val="restart"/>
            <w:tcBorders>
              <w:top w:val="single" w:sz="8"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tcPr>
          <w:p w14:paraId="32F39AB5" w14:textId="77777777" w:rsidR="00F74C06" w:rsidRPr="00F74C06" w:rsidRDefault="00F74C06" w:rsidP="00F74C06">
            <w:pPr>
              <w:suppressAutoHyphens/>
              <w:autoSpaceDN w:val="0"/>
              <w:spacing w:after="0" w:line="240" w:lineRule="auto"/>
              <w:textAlignment w:val="baseline"/>
              <w:rPr>
                <w:color w:val="FFFFFF" w:themeColor="background1"/>
                <w:lang w:val="en-GB"/>
              </w:rPr>
            </w:pPr>
            <w:r w:rsidRPr="00F74C06">
              <w:rPr>
                <w:rFonts w:eastAsia="Times New Roman"/>
                <w:b/>
                <w:bCs/>
                <w:color w:val="FFFFFF"/>
                <w:kern w:val="3"/>
                <w:lang w:val="en-GB" w:eastAsia="en-GB"/>
              </w:rPr>
              <w:t>Nomination of one expert and one alternate</w:t>
            </w:r>
          </w:p>
          <w:p w14:paraId="4682CF0C" w14:textId="631A6640" w:rsidR="00F74C06" w:rsidRPr="00F74C06" w:rsidRDefault="00F74C06" w:rsidP="005F46EB">
            <w:pPr>
              <w:numPr>
                <w:ilvl w:val="0"/>
                <w:numId w:val="2"/>
              </w:numPr>
              <w:suppressAutoHyphens/>
              <w:autoSpaceDN w:val="0"/>
              <w:spacing w:after="0" w:line="240" w:lineRule="auto"/>
              <w:textAlignment w:val="baseline"/>
              <w:rPr>
                <w:color w:val="FFFFFF" w:themeColor="background1"/>
                <w:sz w:val="18"/>
                <w:szCs w:val="18"/>
              </w:rPr>
            </w:pPr>
            <w:r>
              <w:rPr>
                <w:rFonts w:eastAsia="Calibri" w:cs="Times New Roman"/>
                <w:color w:val="FFFFFF" w:themeColor="background1"/>
                <w:kern w:val="3"/>
                <w:sz w:val="18"/>
                <w:szCs w:val="18"/>
                <w:lang w:eastAsia="en-GB"/>
              </w:rPr>
              <w:t>N</w:t>
            </w:r>
            <w:r w:rsidRPr="00F74C06">
              <w:rPr>
                <w:rFonts w:eastAsia="Calibri" w:cs="Times New Roman"/>
                <w:color w:val="FFFFFF" w:themeColor="background1"/>
                <w:kern w:val="3"/>
                <w:sz w:val="18"/>
                <w:szCs w:val="18"/>
                <w:lang w:eastAsia="en-GB"/>
              </w:rPr>
              <w:t>o alternate</w:t>
            </w:r>
          </w:p>
          <w:p w14:paraId="234DC92A" w14:textId="77777777" w:rsidR="00F74C06" w:rsidRPr="00F74C06" w:rsidRDefault="00F74C06" w:rsidP="005F46EB">
            <w:pPr>
              <w:numPr>
                <w:ilvl w:val="0"/>
                <w:numId w:val="2"/>
              </w:numPr>
              <w:suppressAutoHyphens/>
              <w:autoSpaceDN w:val="0"/>
              <w:spacing w:after="0" w:line="240" w:lineRule="auto"/>
              <w:textAlignment w:val="baseline"/>
              <w:rPr>
                <w:color w:val="FFFFFF" w:themeColor="background1"/>
                <w:sz w:val="18"/>
                <w:szCs w:val="18"/>
              </w:rPr>
            </w:pPr>
            <w:r w:rsidRPr="00F74C06">
              <w:rPr>
                <w:rFonts w:eastAsia="Calibri" w:cs="Times New Roman"/>
                <w:color w:val="FFFFFF" w:themeColor="background1"/>
                <w:kern w:val="3"/>
                <w:sz w:val="18"/>
                <w:szCs w:val="18"/>
                <w:lang w:eastAsia="en-GB"/>
              </w:rPr>
              <w:t>Multiple functional player</w:t>
            </w:r>
          </w:p>
          <w:p w14:paraId="7A2B26DF" w14:textId="77777777" w:rsidR="00F74C06" w:rsidRPr="00F74C06" w:rsidRDefault="00F74C06" w:rsidP="005F46EB">
            <w:pPr>
              <w:numPr>
                <w:ilvl w:val="0"/>
                <w:numId w:val="2"/>
              </w:numPr>
              <w:suppressAutoHyphens/>
              <w:autoSpaceDN w:val="0"/>
              <w:spacing w:after="0" w:line="240" w:lineRule="auto"/>
              <w:textAlignment w:val="baseline"/>
              <w:rPr>
                <w:color w:val="FFFFFF" w:themeColor="background1"/>
                <w:sz w:val="18"/>
                <w:szCs w:val="18"/>
                <w:lang w:val="en-GB"/>
              </w:rPr>
            </w:pPr>
            <w:r w:rsidRPr="00F74C06">
              <w:rPr>
                <w:rFonts w:eastAsia="Calibri" w:cs="Times New Roman"/>
                <w:color w:val="FFFFFF" w:themeColor="background1"/>
                <w:kern w:val="3"/>
                <w:sz w:val="18"/>
                <w:szCs w:val="18"/>
                <w:lang w:val="en-GB" w:eastAsia="en-GB"/>
              </w:rPr>
              <w:t xml:space="preserve">Covering also the role of supplier </w:t>
            </w:r>
          </w:p>
          <w:p w14:paraId="647F3850" w14:textId="77777777" w:rsidR="00F74C06" w:rsidRPr="00F74C06" w:rsidRDefault="00F74C06" w:rsidP="005F46EB">
            <w:pPr>
              <w:numPr>
                <w:ilvl w:val="0"/>
                <w:numId w:val="2"/>
              </w:numPr>
              <w:suppressAutoHyphens/>
              <w:autoSpaceDN w:val="0"/>
              <w:spacing w:after="0" w:line="240" w:lineRule="auto"/>
              <w:textAlignment w:val="baseline"/>
              <w:rPr>
                <w:color w:val="FFFFFF" w:themeColor="background1"/>
                <w:sz w:val="18"/>
                <w:szCs w:val="18"/>
              </w:rPr>
            </w:pPr>
            <w:r w:rsidRPr="00F74C06">
              <w:rPr>
                <w:rFonts w:eastAsia="Calibri" w:cs="Times New Roman"/>
                <w:color w:val="FFFFFF" w:themeColor="background1"/>
                <w:kern w:val="3"/>
                <w:sz w:val="18"/>
                <w:szCs w:val="18"/>
                <w:lang w:val="en-GB" w:eastAsia="en-GB"/>
              </w:rPr>
              <w:t xml:space="preserve"> </w:t>
            </w:r>
            <w:r w:rsidRPr="00F74C06">
              <w:rPr>
                <w:rFonts w:eastAsia="Calibri" w:cs="Times New Roman"/>
                <w:color w:val="FFFFFF" w:themeColor="background1"/>
                <w:kern w:val="3"/>
                <w:sz w:val="18"/>
                <w:szCs w:val="18"/>
                <w:lang w:eastAsia="en-GB"/>
              </w:rPr>
              <w:t>2 experts and 2 alternates</w:t>
            </w:r>
          </w:p>
          <w:p w14:paraId="7FA04647" w14:textId="77777777" w:rsidR="00F74C06" w:rsidRPr="00F74C06" w:rsidRDefault="00F74C06" w:rsidP="005F46EB">
            <w:pPr>
              <w:numPr>
                <w:ilvl w:val="0"/>
                <w:numId w:val="2"/>
              </w:numPr>
              <w:suppressAutoHyphens/>
              <w:autoSpaceDN w:val="0"/>
              <w:spacing w:after="0" w:line="240" w:lineRule="auto"/>
              <w:textAlignment w:val="baseline"/>
              <w:rPr>
                <w:color w:val="FFFFFF" w:themeColor="background1"/>
                <w:sz w:val="18"/>
                <w:szCs w:val="18"/>
                <w:lang w:val="en-GB"/>
              </w:rPr>
            </w:pPr>
            <w:r w:rsidRPr="00F74C06">
              <w:rPr>
                <w:rFonts w:eastAsia="Calibri" w:cs="Times New Roman"/>
                <w:color w:val="FFFFFF" w:themeColor="background1"/>
                <w:kern w:val="3"/>
                <w:sz w:val="18"/>
                <w:szCs w:val="18"/>
                <w:lang w:val="en-GB" w:eastAsia="en-GB"/>
              </w:rPr>
              <w:t>EC ask BEUC case by case, according with the issue to discuss</w:t>
            </w:r>
          </w:p>
          <w:p w14:paraId="42B4FD3E" w14:textId="77777777" w:rsidR="00F74C06" w:rsidRPr="00F74C06" w:rsidRDefault="00F74C06" w:rsidP="00F74C06">
            <w:pPr>
              <w:suppressAutoHyphens/>
              <w:autoSpaceDN w:val="0"/>
              <w:spacing w:after="0" w:line="240" w:lineRule="auto"/>
              <w:ind w:left="720"/>
              <w:textAlignment w:val="baseline"/>
              <w:rPr>
                <w:rFonts w:eastAsia="Calibri" w:cs="Times New Roman"/>
                <w:color w:val="FFFFFF" w:themeColor="background1"/>
                <w:kern w:val="3"/>
                <w:lang w:val="en-GB" w:eastAsia="en-GB"/>
              </w:rPr>
            </w:pPr>
          </w:p>
          <w:p w14:paraId="3463F948" w14:textId="77777777" w:rsidR="00F74C06" w:rsidRPr="00F74C06" w:rsidRDefault="00F74C06" w:rsidP="00F74C06">
            <w:pPr>
              <w:suppressAutoHyphens/>
              <w:autoSpaceDN w:val="0"/>
              <w:spacing w:after="0" w:line="240" w:lineRule="auto"/>
              <w:ind w:left="720"/>
              <w:textAlignment w:val="baseline"/>
              <w:rPr>
                <w:rFonts w:eastAsia="Times New Roman"/>
                <w:color w:val="FFFFFF"/>
                <w:lang w:val="en-GB" w:eastAsia="en-GB"/>
              </w:rPr>
            </w:pPr>
          </w:p>
          <w:p w14:paraId="7A5F1D1D" w14:textId="77777777" w:rsidR="00F74C06" w:rsidRPr="00F74C06" w:rsidRDefault="00F74C06" w:rsidP="00F74C06">
            <w:pPr>
              <w:suppressAutoHyphens/>
              <w:autoSpaceDN w:val="0"/>
              <w:spacing w:after="0" w:line="240" w:lineRule="auto"/>
              <w:ind w:left="360"/>
              <w:textAlignment w:val="baseline"/>
              <w:rPr>
                <w:rFonts w:eastAsia="Times New Roman"/>
                <w:color w:val="FFFFFF"/>
                <w:sz w:val="18"/>
                <w:szCs w:val="18"/>
                <w:lang w:val="en-GB" w:eastAsia="en-GB"/>
              </w:rPr>
            </w:pPr>
            <w:r w:rsidRPr="00F74C06">
              <w:rPr>
                <w:rFonts w:eastAsia="Times New Roman"/>
                <w:color w:val="FFFFFF"/>
                <w:sz w:val="18"/>
                <w:szCs w:val="18"/>
                <w:lang w:val="en-GB" w:eastAsia="en-GB"/>
              </w:rPr>
              <w:t>(*)  Changes in composition since last notification to the Steering Committee</w:t>
            </w:r>
          </w:p>
        </w:tc>
        <w:tc>
          <w:tcPr>
            <w:tcW w:w="1716"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2DECD932" w14:textId="77777777" w:rsidR="00F74C06" w:rsidRPr="00F74C06" w:rsidRDefault="00F74C06" w:rsidP="00F74C06">
            <w:pPr>
              <w:suppressAutoHyphens/>
              <w:autoSpaceDN w:val="0"/>
              <w:spacing w:after="0" w:line="240" w:lineRule="auto"/>
              <w:textAlignment w:val="baseline"/>
            </w:pPr>
            <w:r w:rsidRPr="00F74C06">
              <w:rPr>
                <w:rFonts w:eastAsia="Times New Roman"/>
                <w:b/>
                <w:bCs/>
                <w:color w:val="003399"/>
                <w:kern w:val="3"/>
                <w:lang w:eastAsia="en-GB"/>
              </w:rPr>
              <w:t>CEER</w:t>
            </w:r>
          </w:p>
        </w:tc>
        <w:tc>
          <w:tcPr>
            <w:tcW w:w="2518"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vAlign w:val="center"/>
          </w:tcPr>
          <w:p w14:paraId="72553026" w14:textId="4CEEA3A2" w:rsidR="00F74C06" w:rsidRPr="00F74C06" w:rsidRDefault="00F74C06" w:rsidP="00F74C06">
            <w:pPr>
              <w:suppressAutoHyphens/>
              <w:autoSpaceDN w:val="0"/>
              <w:spacing w:after="0" w:line="240" w:lineRule="auto"/>
              <w:textAlignment w:val="baseline"/>
            </w:pPr>
            <w:r>
              <w:rPr>
                <w:rFonts w:eastAsia="Times New Roman"/>
                <w:color w:val="000099"/>
                <w:kern w:val="3"/>
                <w:szCs w:val="22"/>
                <w:lang w:eastAsia="en-GB"/>
              </w:rPr>
              <w:t>Christelle Heng</w:t>
            </w:r>
            <w:r w:rsidRPr="00F74C06">
              <w:rPr>
                <w:rFonts w:eastAsia="Times New Roman"/>
                <w:color w:val="000099"/>
                <w:kern w:val="3"/>
                <w:szCs w:val="22"/>
                <w:lang w:eastAsia="en-GB"/>
              </w:rPr>
              <w:t xml:space="preserve"> – F</w:t>
            </w:r>
            <w:r w:rsidRPr="00F74C06">
              <w:rPr>
                <w:rFonts w:eastAsia="Times New Roman"/>
                <w:color w:val="000099"/>
                <w:kern w:val="3"/>
                <w:lang w:eastAsia="en-GB"/>
              </w:rPr>
              <w:t>R</w:t>
            </w:r>
            <w:r w:rsidRPr="00F74C06">
              <w:rPr>
                <w:rFonts w:eastAsia="Times New Roman"/>
                <w:color w:val="000099"/>
                <w:kern w:val="3"/>
                <w:szCs w:val="22"/>
                <w:lang w:eastAsia="en-GB"/>
              </w:rPr>
              <w:t xml:space="preserve"> NRA </w:t>
            </w:r>
            <w:r w:rsidRPr="00F74C06">
              <w:rPr>
                <w:rFonts w:eastAsia="Times New Roman"/>
                <w:color w:val="000099"/>
                <w:kern w:val="3"/>
                <w:lang w:val="en-GB" w:eastAsia="en-GB"/>
              </w:rPr>
              <w:t>(*)</w:t>
            </w:r>
          </w:p>
        </w:tc>
        <w:tc>
          <w:tcPr>
            <w:tcW w:w="2970"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vAlign w:val="center"/>
          </w:tcPr>
          <w:p w14:paraId="49250B9A" w14:textId="77777777" w:rsidR="00F74C06" w:rsidRPr="00F74C06" w:rsidRDefault="00F74C06" w:rsidP="00F74C06">
            <w:pPr>
              <w:suppressAutoHyphens/>
              <w:autoSpaceDN w:val="0"/>
              <w:spacing w:after="0" w:line="240" w:lineRule="auto"/>
              <w:textAlignment w:val="baseline"/>
            </w:pPr>
            <w:r w:rsidRPr="00F74C06">
              <w:rPr>
                <w:rFonts w:eastAsia="Times New Roman"/>
                <w:color w:val="000099"/>
                <w:kern w:val="3"/>
                <w:lang w:eastAsia="en-GB"/>
              </w:rPr>
              <w:t>Deniz Erdem – DE NRA</w:t>
            </w:r>
          </w:p>
        </w:tc>
      </w:tr>
      <w:tr w:rsidR="00EF0C24" w:rsidRPr="00F74C06" w14:paraId="7DE28C54" w14:textId="77777777" w:rsidTr="00F74C06">
        <w:trPr>
          <w:trHeight w:hRule="exact" w:val="474"/>
        </w:trPr>
        <w:tc>
          <w:tcPr>
            <w:tcW w:w="2406" w:type="dxa"/>
            <w:vMerge/>
            <w:shd w:val="clear" w:color="auto" w:fill="auto"/>
            <w:tcMar>
              <w:top w:w="0" w:type="dxa"/>
              <w:left w:w="10" w:type="dxa"/>
              <w:bottom w:w="0" w:type="dxa"/>
              <w:right w:w="10" w:type="dxa"/>
            </w:tcMar>
          </w:tcPr>
          <w:p w14:paraId="4B580D23" w14:textId="77777777" w:rsidR="00F74C06" w:rsidRPr="00F74C06" w:rsidRDefault="00F74C06" w:rsidP="00F74C06">
            <w:pPr>
              <w:suppressAutoHyphens/>
              <w:autoSpaceDN w:val="0"/>
              <w:spacing w:after="0" w:line="240" w:lineRule="auto"/>
              <w:textAlignment w:val="baseline"/>
              <w:rPr>
                <w:rFonts w:eastAsia="Times New Roman"/>
                <w:lang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CBE2F2"/>
            <w:tcMar>
              <w:top w:w="15" w:type="dxa"/>
              <w:left w:w="101" w:type="dxa"/>
              <w:bottom w:w="0" w:type="dxa"/>
              <w:right w:w="101" w:type="dxa"/>
            </w:tcMar>
            <w:vAlign w:val="center"/>
          </w:tcPr>
          <w:p w14:paraId="0BFCC904" w14:textId="77777777" w:rsidR="00F74C06" w:rsidRPr="00F74C06" w:rsidRDefault="00F74C06" w:rsidP="00F74C06">
            <w:pPr>
              <w:suppressAutoHyphens/>
              <w:autoSpaceDN w:val="0"/>
              <w:spacing w:after="0" w:line="240" w:lineRule="auto"/>
              <w:textAlignment w:val="baseline"/>
            </w:pPr>
            <w:r w:rsidRPr="00F74C06">
              <w:rPr>
                <w:rFonts w:eastAsia="Times New Roman"/>
                <w:b/>
                <w:bCs/>
                <w:color w:val="003399"/>
                <w:kern w:val="3"/>
                <w:lang w:eastAsia="en-GB"/>
              </w:rPr>
              <w:t>CEDEC(1) (2)</w:t>
            </w:r>
          </w:p>
        </w:tc>
        <w:tc>
          <w:tcPr>
            <w:tcW w:w="2518" w:type="dxa"/>
            <w:tcBorders>
              <w:top w:val="single" w:sz="8" w:space="0" w:color="FFFFFF"/>
              <w:left w:val="single" w:sz="8" w:space="0" w:color="FFFFFF"/>
              <w:bottom w:val="single" w:sz="8" w:space="0" w:color="FFFFFF"/>
              <w:right w:val="single" w:sz="8" w:space="0" w:color="FFFFFF"/>
            </w:tcBorders>
            <w:shd w:val="clear" w:color="auto" w:fill="CBE2F2"/>
            <w:tcMar>
              <w:top w:w="0" w:type="dxa"/>
              <w:left w:w="0" w:type="dxa"/>
              <w:bottom w:w="0" w:type="dxa"/>
              <w:right w:w="0" w:type="dxa"/>
            </w:tcMar>
            <w:vAlign w:val="center"/>
          </w:tcPr>
          <w:p w14:paraId="7BB854FF" w14:textId="77777777" w:rsidR="00F74C06" w:rsidRPr="00F74C06" w:rsidRDefault="00F74C06" w:rsidP="00F74C06">
            <w:pPr>
              <w:suppressAutoHyphens/>
              <w:autoSpaceDN w:val="0"/>
              <w:spacing w:after="0" w:line="240" w:lineRule="auto"/>
              <w:textAlignment w:val="baseline"/>
            </w:pPr>
            <w:r w:rsidRPr="00F74C06">
              <w:rPr>
                <w:rFonts w:eastAsia="Times New Roman"/>
                <w:color w:val="000099"/>
                <w:kern w:val="3"/>
                <w:lang w:eastAsia="en-GB"/>
              </w:rPr>
              <w:t>Christian Richter – vku (DE)</w:t>
            </w:r>
          </w:p>
        </w:tc>
        <w:tc>
          <w:tcPr>
            <w:tcW w:w="2970" w:type="dxa"/>
            <w:tcBorders>
              <w:top w:val="single" w:sz="8" w:space="0" w:color="FFFFFF"/>
              <w:left w:val="single" w:sz="8" w:space="0" w:color="FFFFFF"/>
              <w:bottom w:val="single" w:sz="8" w:space="0" w:color="FFFFFF"/>
              <w:right w:val="single" w:sz="8" w:space="0" w:color="FFFFFF"/>
            </w:tcBorders>
            <w:shd w:val="clear" w:color="auto" w:fill="CBE2F2"/>
            <w:tcMar>
              <w:top w:w="0" w:type="dxa"/>
              <w:left w:w="0" w:type="dxa"/>
              <w:bottom w:w="0" w:type="dxa"/>
              <w:right w:w="0" w:type="dxa"/>
            </w:tcMar>
            <w:vAlign w:val="center"/>
          </w:tcPr>
          <w:p w14:paraId="69A1C3D4" w14:textId="77777777" w:rsidR="00F74C06" w:rsidRPr="00F74C06" w:rsidRDefault="00F74C06" w:rsidP="00F74C06">
            <w:pPr>
              <w:suppressAutoHyphens/>
              <w:autoSpaceDN w:val="0"/>
              <w:spacing w:after="0" w:line="240" w:lineRule="auto"/>
              <w:jc w:val="center"/>
              <w:textAlignment w:val="baseline"/>
            </w:pPr>
            <w:r w:rsidRPr="00F74C06">
              <w:rPr>
                <w:rFonts w:eastAsia="Times New Roman"/>
                <w:color w:val="000099"/>
                <w:kern w:val="3"/>
                <w:lang w:val="fr-BE" w:eastAsia="en-GB"/>
              </w:rPr>
              <w:t>-</w:t>
            </w:r>
          </w:p>
        </w:tc>
      </w:tr>
      <w:tr w:rsidR="00EF0C24" w:rsidRPr="00F74C06" w14:paraId="391F5721" w14:textId="77777777" w:rsidTr="00F74C06">
        <w:trPr>
          <w:trHeight w:val="442"/>
        </w:trPr>
        <w:tc>
          <w:tcPr>
            <w:tcW w:w="2406" w:type="dxa"/>
            <w:vMerge/>
            <w:shd w:val="clear" w:color="auto" w:fill="auto"/>
            <w:tcMar>
              <w:top w:w="0" w:type="dxa"/>
              <w:left w:w="10" w:type="dxa"/>
              <w:bottom w:w="0" w:type="dxa"/>
              <w:right w:w="10" w:type="dxa"/>
            </w:tcMar>
          </w:tcPr>
          <w:p w14:paraId="772E7D6E" w14:textId="77777777" w:rsidR="00F74C06" w:rsidRPr="00F74C06" w:rsidRDefault="00F74C06" w:rsidP="00F74C06">
            <w:pPr>
              <w:suppressAutoHyphens/>
              <w:autoSpaceDN w:val="0"/>
              <w:spacing w:after="0" w:line="240" w:lineRule="auto"/>
              <w:textAlignment w:val="baseline"/>
              <w:rPr>
                <w:rFonts w:eastAsia="Times New Roman"/>
                <w:lang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4D8EDC2C" w14:textId="77777777" w:rsidR="00F74C06" w:rsidRPr="00F74C06" w:rsidRDefault="00F74C06" w:rsidP="00F74C06">
            <w:pPr>
              <w:suppressAutoHyphens/>
              <w:autoSpaceDN w:val="0"/>
              <w:spacing w:after="0" w:line="240" w:lineRule="auto"/>
              <w:textAlignment w:val="baseline"/>
            </w:pPr>
            <w:r w:rsidRPr="00F74C06">
              <w:rPr>
                <w:rFonts w:eastAsia="Times New Roman"/>
                <w:b/>
                <w:bCs/>
                <w:color w:val="003399"/>
                <w:kern w:val="3"/>
                <w:lang w:eastAsia="en-GB"/>
              </w:rPr>
              <w:t>EDSO (1)</w:t>
            </w:r>
          </w:p>
        </w:tc>
        <w:tc>
          <w:tcPr>
            <w:tcW w:w="2518"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vAlign w:val="center"/>
          </w:tcPr>
          <w:p w14:paraId="7CA15D85" w14:textId="77777777" w:rsidR="00F74C06" w:rsidRPr="00F74C06" w:rsidRDefault="00F74C06" w:rsidP="00F74C06">
            <w:pPr>
              <w:suppressAutoHyphens/>
              <w:autoSpaceDN w:val="0"/>
              <w:spacing w:after="0" w:line="240" w:lineRule="auto"/>
              <w:textAlignment w:val="baseline"/>
            </w:pPr>
            <w:r w:rsidRPr="00F74C06">
              <w:rPr>
                <w:rFonts w:eastAsia="Times New Roman"/>
                <w:color w:val="000099"/>
                <w:kern w:val="3"/>
                <w:lang w:eastAsia="en-GB"/>
              </w:rPr>
              <w:t>Jean-François Montagne -Enedis</w:t>
            </w:r>
          </w:p>
        </w:tc>
        <w:tc>
          <w:tcPr>
            <w:tcW w:w="2970"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vAlign w:val="center"/>
          </w:tcPr>
          <w:p w14:paraId="558DB9D7" w14:textId="77777777" w:rsidR="00F74C06" w:rsidRPr="00F74C06" w:rsidRDefault="00F74C06" w:rsidP="00F74C06">
            <w:pPr>
              <w:suppressAutoHyphens/>
              <w:autoSpaceDN w:val="0"/>
              <w:spacing w:after="0" w:line="240" w:lineRule="auto"/>
              <w:jc w:val="center"/>
              <w:textAlignment w:val="baseline"/>
            </w:pPr>
            <w:r w:rsidRPr="00F74C06">
              <w:rPr>
                <w:rFonts w:eastAsia="Calibri" w:cs="Times New Roman"/>
                <w:color w:val="000099"/>
                <w:kern w:val="3"/>
                <w:lang w:val="fr-BE" w:eastAsia="en-GB"/>
              </w:rPr>
              <w:t>-</w:t>
            </w:r>
          </w:p>
        </w:tc>
      </w:tr>
      <w:tr w:rsidR="00EF0C24" w:rsidRPr="00F74C06" w14:paraId="637BFD82" w14:textId="77777777" w:rsidTr="00F74C06">
        <w:trPr>
          <w:trHeight w:val="442"/>
        </w:trPr>
        <w:tc>
          <w:tcPr>
            <w:tcW w:w="2406" w:type="dxa"/>
            <w:vMerge/>
            <w:shd w:val="clear" w:color="auto" w:fill="auto"/>
            <w:tcMar>
              <w:top w:w="0" w:type="dxa"/>
              <w:left w:w="10" w:type="dxa"/>
              <w:bottom w:w="0" w:type="dxa"/>
              <w:right w:w="10" w:type="dxa"/>
            </w:tcMar>
          </w:tcPr>
          <w:p w14:paraId="025E67A8" w14:textId="77777777" w:rsidR="00F74C06" w:rsidRPr="00F74C06" w:rsidRDefault="00F74C06" w:rsidP="00F74C06">
            <w:pPr>
              <w:suppressAutoHyphens/>
              <w:autoSpaceDN w:val="0"/>
              <w:spacing w:after="0" w:line="240" w:lineRule="auto"/>
              <w:textAlignment w:val="baseline"/>
              <w:rPr>
                <w:rFonts w:eastAsia="Times New Roman"/>
                <w:lang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CBE2F2"/>
            <w:tcMar>
              <w:top w:w="15" w:type="dxa"/>
              <w:left w:w="101" w:type="dxa"/>
              <w:bottom w:w="0" w:type="dxa"/>
              <w:right w:w="101" w:type="dxa"/>
            </w:tcMar>
            <w:vAlign w:val="center"/>
          </w:tcPr>
          <w:p w14:paraId="7ABB4343" w14:textId="77777777" w:rsidR="00F74C06" w:rsidRPr="00F74C06" w:rsidRDefault="00F74C06" w:rsidP="00F74C06">
            <w:pPr>
              <w:suppressAutoHyphens/>
              <w:autoSpaceDN w:val="0"/>
              <w:spacing w:after="0" w:line="240" w:lineRule="auto"/>
              <w:textAlignment w:val="baseline"/>
            </w:pPr>
            <w:r w:rsidRPr="00F74C06">
              <w:rPr>
                <w:rFonts w:eastAsia="Calibri" w:cs="Times New Roman"/>
                <w:b/>
                <w:bCs/>
                <w:color w:val="003399"/>
                <w:kern w:val="3"/>
                <w:lang w:eastAsia="en-GB"/>
              </w:rPr>
              <w:t>Eurelectric (1) (3)</w:t>
            </w:r>
          </w:p>
        </w:tc>
        <w:tc>
          <w:tcPr>
            <w:tcW w:w="2518" w:type="dxa"/>
            <w:tcBorders>
              <w:top w:val="single" w:sz="8" w:space="0" w:color="FFFFFF"/>
              <w:left w:val="single" w:sz="8" w:space="0" w:color="FFFFFF"/>
              <w:bottom w:val="single" w:sz="8" w:space="0" w:color="FFFFFF"/>
              <w:right w:val="single" w:sz="8" w:space="0" w:color="FFFFFF"/>
            </w:tcBorders>
            <w:shd w:val="clear" w:color="auto" w:fill="CBE2F2"/>
            <w:tcMar>
              <w:top w:w="0" w:type="dxa"/>
              <w:left w:w="0" w:type="dxa"/>
              <w:bottom w:w="0" w:type="dxa"/>
              <w:right w:w="0" w:type="dxa"/>
            </w:tcMar>
            <w:vAlign w:val="center"/>
          </w:tcPr>
          <w:p w14:paraId="7D105A20" w14:textId="77777777" w:rsidR="00F74C06" w:rsidRPr="00792657" w:rsidRDefault="00F74C06" w:rsidP="00F74C06">
            <w:pPr>
              <w:suppressAutoHyphens/>
              <w:autoSpaceDN w:val="0"/>
              <w:spacing w:after="0" w:line="240" w:lineRule="auto"/>
              <w:textAlignment w:val="baseline"/>
            </w:pPr>
            <w:r w:rsidRPr="00792657">
              <w:rPr>
                <w:color w:val="000099"/>
                <w:kern w:val="3"/>
              </w:rPr>
              <w:t>DSO issues: Paul de Wit – Alliander</w:t>
            </w:r>
          </w:p>
          <w:p w14:paraId="775E670C" w14:textId="77777777" w:rsidR="00F74C06" w:rsidRPr="00792657" w:rsidRDefault="00F74C06" w:rsidP="00F74C06">
            <w:pPr>
              <w:suppressAutoHyphens/>
              <w:autoSpaceDN w:val="0"/>
              <w:spacing w:after="0" w:line="240" w:lineRule="auto"/>
              <w:textAlignment w:val="baseline"/>
            </w:pPr>
            <w:r w:rsidRPr="00792657">
              <w:rPr>
                <w:color w:val="000099"/>
                <w:kern w:val="3"/>
              </w:rPr>
              <w:t xml:space="preserve">Supply issues: Kajsa Lilius – Öresundskraft </w:t>
            </w:r>
          </w:p>
        </w:tc>
        <w:tc>
          <w:tcPr>
            <w:tcW w:w="2970" w:type="dxa"/>
            <w:tcBorders>
              <w:top w:val="single" w:sz="8" w:space="0" w:color="FFFFFF"/>
              <w:left w:val="single" w:sz="8" w:space="0" w:color="FFFFFF"/>
              <w:bottom w:val="single" w:sz="8" w:space="0" w:color="FFFFFF"/>
              <w:right w:val="single" w:sz="8" w:space="0" w:color="FFFFFF"/>
            </w:tcBorders>
            <w:shd w:val="clear" w:color="auto" w:fill="CBE2F2"/>
            <w:tcMar>
              <w:top w:w="0" w:type="dxa"/>
              <w:left w:w="0" w:type="dxa"/>
              <w:bottom w:w="0" w:type="dxa"/>
              <w:right w:w="0" w:type="dxa"/>
            </w:tcMar>
            <w:vAlign w:val="center"/>
          </w:tcPr>
          <w:p w14:paraId="7BA42713" w14:textId="77777777" w:rsidR="00F74C06" w:rsidRPr="00F74C06" w:rsidRDefault="00F74C06" w:rsidP="00F74C06">
            <w:pPr>
              <w:suppressAutoHyphens/>
              <w:autoSpaceDN w:val="0"/>
              <w:spacing w:after="0" w:line="240" w:lineRule="auto"/>
              <w:jc w:val="center"/>
              <w:textAlignment w:val="baseline"/>
            </w:pPr>
            <w:r w:rsidRPr="00F74C06">
              <w:rPr>
                <w:rFonts w:eastAsia="Calibri" w:cs="Times New Roman"/>
                <w:color w:val="000099"/>
                <w:kern w:val="3"/>
                <w:lang w:val="fr-BE" w:eastAsia="en-GB"/>
              </w:rPr>
              <w:t>-</w:t>
            </w:r>
          </w:p>
        </w:tc>
      </w:tr>
      <w:tr w:rsidR="00EF0C24" w:rsidRPr="00F74C06" w14:paraId="53036D9A" w14:textId="77777777" w:rsidTr="00F74C06">
        <w:trPr>
          <w:trHeight w:hRule="exact" w:val="360"/>
        </w:trPr>
        <w:tc>
          <w:tcPr>
            <w:tcW w:w="2406" w:type="dxa"/>
            <w:vMerge/>
            <w:shd w:val="clear" w:color="auto" w:fill="auto"/>
            <w:tcMar>
              <w:top w:w="0" w:type="dxa"/>
              <w:left w:w="10" w:type="dxa"/>
              <w:bottom w:w="0" w:type="dxa"/>
              <w:right w:w="10" w:type="dxa"/>
            </w:tcMar>
          </w:tcPr>
          <w:p w14:paraId="26B95CF0" w14:textId="77777777" w:rsidR="00F74C06" w:rsidRPr="00F74C06" w:rsidRDefault="00F74C06" w:rsidP="00F74C06">
            <w:pPr>
              <w:suppressAutoHyphens/>
              <w:autoSpaceDN w:val="0"/>
              <w:spacing w:after="0" w:line="240" w:lineRule="auto"/>
              <w:textAlignment w:val="baseline"/>
              <w:rPr>
                <w:rFonts w:eastAsia="Times New Roman"/>
                <w:lang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302F2E91" w14:textId="77777777" w:rsidR="00F74C06" w:rsidRPr="00F74C06" w:rsidRDefault="00F74C06" w:rsidP="00F74C06">
            <w:pPr>
              <w:suppressAutoHyphens/>
              <w:autoSpaceDN w:val="0"/>
              <w:spacing w:after="0" w:line="240" w:lineRule="auto"/>
              <w:textAlignment w:val="baseline"/>
            </w:pPr>
            <w:r w:rsidRPr="00F74C06">
              <w:rPr>
                <w:rFonts w:eastAsia="Calibri" w:cs="Times New Roman"/>
                <w:b/>
                <w:bCs/>
                <w:color w:val="003399"/>
                <w:kern w:val="3"/>
                <w:lang w:eastAsia="en-GB"/>
              </w:rPr>
              <w:t>GEODE (1)</w:t>
            </w:r>
          </w:p>
        </w:tc>
        <w:tc>
          <w:tcPr>
            <w:tcW w:w="2518"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vAlign w:val="center"/>
          </w:tcPr>
          <w:p w14:paraId="1D1A402D" w14:textId="77777777" w:rsidR="00F74C06" w:rsidRPr="00F74C06" w:rsidRDefault="00F74C06" w:rsidP="00F74C06">
            <w:pPr>
              <w:suppressAutoHyphens/>
              <w:autoSpaceDN w:val="0"/>
              <w:spacing w:after="0" w:line="240" w:lineRule="auto"/>
              <w:textAlignment w:val="baseline"/>
            </w:pPr>
            <w:r w:rsidRPr="00F74C06">
              <w:rPr>
                <w:rFonts w:eastAsia="Times New Roman"/>
                <w:color w:val="000099"/>
                <w:kern w:val="3"/>
                <w:lang w:eastAsia="en-GB"/>
              </w:rPr>
              <w:t xml:space="preserve">Franz Fischer </w:t>
            </w:r>
            <w:r w:rsidRPr="00F74C06">
              <w:rPr>
                <w:rFonts w:eastAsia="Times New Roman"/>
                <w:color w:val="000099"/>
                <w:kern w:val="3"/>
                <w:lang w:val="pt-BR" w:eastAsia="en-GB"/>
              </w:rPr>
              <w:t>–</w:t>
            </w:r>
            <w:r w:rsidRPr="00F74C06">
              <w:rPr>
                <w:rFonts w:eastAsia="Times New Roman"/>
                <w:color w:val="000099"/>
                <w:kern w:val="3"/>
                <w:lang w:eastAsia="en-GB"/>
              </w:rPr>
              <w:t xml:space="preserve"> Energie AG</w:t>
            </w:r>
          </w:p>
        </w:tc>
        <w:tc>
          <w:tcPr>
            <w:tcW w:w="2970"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vAlign w:val="center"/>
          </w:tcPr>
          <w:p w14:paraId="131CCD7A" w14:textId="77777777" w:rsidR="00F74C06" w:rsidRPr="00F74C06" w:rsidRDefault="00F74C06" w:rsidP="00F74C06">
            <w:pPr>
              <w:suppressAutoHyphens/>
              <w:autoSpaceDN w:val="0"/>
              <w:spacing w:after="0" w:line="240" w:lineRule="auto"/>
              <w:jc w:val="center"/>
              <w:textAlignment w:val="baseline"/>
            </w:pPr>
            <w:r w:rsidRPr="00F74C06">
              <w:rPr>
                <w:rFonts w:eastAsia="Calibri" w:cs="Times New Roman"/>
                <w:color w:val="000099"/>
                <w:kern w:val="3"/>
                <w:lang w:val="fr-BE" w:eastAsia="en-GB"/>
              </w:rPr>
              <w:t>-</w:t>
            </w:r>
          </w:p>
        </w:tc>
      </w:tr>
      <w:tr w:rsidR="00EF0C24" w:rsidRPr="00E36394" w14:paraId="26689D44" w14:textId="77777777" w:rsidTr="00F74C06">
        <w:trPr>
          <w:trHeight w:val="660"/>
        </w:trPr>
        <w:tc>
          <w:tcPr>
            <w:tcW w:w="2406" w:type="dxa"/>
            <w:vMerge/>
            <w:shd w:val="clear" w:color="auto" w:fill="auto"/>
            <w:tcMar>
              <w:top w:w="0" w:type="dxa"/>
              <w:left w:w="10" w:type="dxa"/>
              <w:bottom w:w="0" w:type="dxa"/>
              <w:right w:w="10" w:type="dxa"/>
            </w:tcMar>
          </w:tcPr>
          <w:p w14:paraId="45909432" w14:textId="77777777" w:rsidR="00F74C06" w:rsidRPr="00F74C06" w:rsidRDefault="00F74C06" w:rsidP="00F74C06">
            <w:pPr>
              <w:suppressAutoHyphens/>
              <w:autoSpaceDN w:val="0"/>
              <w:spacing w:after="0" w:line="240" w:lineRule="auto"/>
              <w:textAlignment w:val="baseline"/>
              <w:rPr>
                <w:rFonts w:eastAsia="Times New Roman"/>
                <w:lang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CBE2F2"/>
            <w:tcMar>
              <w:top w:w="15" w:type="dxa"/>
              <w:left w:w="101" w:type="dxa"/>
              <w:bottom w:w="0" w:type="dxa"/>
              <w:right w:w="101" w:type="dxa"/>
            </w:tcMar>
            <w:vAlign w:val="center"/>
          </w:tcPr>
          <w:p w14:paraId="5692278A" w14:textId="77777777" w:rsidR="00F74C06" w:rsidRPr="00F74C06" w:rsidRDefault="00F74C06" w:rsidP="00F74C06">
            <w:pPr>
              <w:suppressAutoHyphens/>
              <w:autoSpaceDN w:val="0"/>
              <w:spacing w:after="0" w:line="240" w:lineRule="auto"/>
              <w:textAlignment w:val="baseline"/>
            </w:pPr>
            <w:r w:rsidRPr="00F74C06">
              <w:rPr>
                <w:rFonts w:eastAsia="Times New Roman"/>
                <w:b/>
                <w:bCs/>
                <w:color w:val="003399"/>
                <w:kern w:val="3"/>
                <w:lang w:eastAsia="en-GB"/>
              </w:rPr>
              <w:t>ENTSO-E (4)</w:t>
            </w:r>
          </w:p>
        </w:tc>
        <w:tc>
          <w:tcPr>
            <w:tcW w:w="2518" w:type="dxa"/>
            <w:tcBorders>
              <w:top w:val="single" w:sz="8" w:space="0" w:color="FFFFFF"/>
              <w:left w:val="single" w:sz="8" w:space="0" w:color="FFFFFF"/>
              <w:bottom w:val="single" w:sz="8" w:space="0" w:color="FFFFFF"/>
              <w:right w:val="single" w:sz="8" w:space="0" w:color="FFFFFF"/>
            </w:tcBorders>
            <w:shd w:val="clear" w:color="auto" w:fill="CBE2F2"/>
            <w:tcMar>
              <w:top w:w="0" w:type="dxa"/>
              <w:left w:w="0" w:type="dxa"/>
              <w:bottom w:w="0" w:type="dxa"/>
              <w:right w:w="0" w:type="dxa"/>
            </w:tcMar>
            <w:vAlign w:val="center"/>
          </w:tcPr>
          <w:p w14:paraId="4003D01F" w14:textId="77777777" w:rsidR="00F74C06" w:rsidRPr="00EF0C24" w:rsidRDefault="00F74C06" w:rsidP="00F74C06">
            <w:pPr>
              <w:suppressAutoHyphens/>
              <w:autoSpaceDN w:val="0"/>
              <w:spacing w:after="0" w:line="240" w:lineRule="auto"/>
              <w:textAlignment w:val="baseline"/>
              <w:rPr>
                <w:color w:val="000099"/>
                <w:kern w:val="3"/>
                <w:lang w:val="pt-BR"/>
              </w:rPr>
            </w:pPr>
            <w:r w:rsidRPr="00F74C06">
              <w:rPr>
                <w:rFonts w:eastAsia="Times New Roman"/>
                <w:color w:val="000099"/>
                <w:kern w:val="3"/>
                <w:lang w:val="pt-BR" w:eastAsia="en-GB"/>
              </w:rPr>
              <w:t>Olivier Aine – ENTSO-E</w:t>
            </w:r>
          </w:p>
          <w:p w14:paraId="6D53F9D2" w14:textId="5A1781D7" w:rsidR="00F74C06" w:rsidRPr="00EF0C24" w:rsidRDefault="00E36394" w:rsidP="00E36394">
            <w:pPr>
              <w:suppressAutoHyphens/>
              <w:autoSpaceDN w:val="0"/>
              <w:spacing w:after="0" w:line="240" w:lineRule="auto"/>
              <w:textAlignment w:val="baseline"/>
              <w:rPr>
                <w:color w:val="000099"/>
                <w:kern w:val="3"/>
                <w:lang w:val="pt-BR"/>
              </w:rPr>
            </w:pPr>
            <w:r w:rsidRPr="00EF0C24">
              <w:rPr>
                <w:color w:val="000099"/>
                <w:kern w:val="3"/>
                <w:lang w:val="pt-BR"/>
              </w:rPr>
              <w:t xml:space="preserve">Fabio Oliveira </w:t>
            </w:r>
            <w:r w:rsidR="00F74C06" w:rsidRPr="00F74C06">
              <w:rPr>
                <w:rFonts w:eastAsia="Times New Roman"/>
                <w:color w:val="000099"/>
                <w:kern w:val="3"/>
                <w:lang w:val="pt-BR" w:eastAsia="en-GB"/>
              </w:rPr>
              <w:t xml:space="preserve">– </w:t>
            </w:r>
            <w:r w:rsidRPr="00F74C06">
              <w:rPr>
                <w:rFonts w:eastAsia="Times New Roman"/>
                <w:color w:val="000099"/>
                <w:kern w:val="3"/>
                <w:lang w:val="pt-BR" w:eastAsia="en-GB"/>
              </w:rPr>
              <w:t>ENTSO-E</w:t>
            </w:r>
            <w:r w:rsidRPr="00EF0C24">
              <w:rPr>
                <w:color w:val="000099"/>
                <w:kern w:val="3"/>
                <w:lang w:val="pt-BR"/>
              </w:rPr>
              <w:t>(*)</w:t>
            </w:r>
          </w:p>
        </w:tc>
        <w:tc>
          <w:tcPr>
            <w:tcW w:w="2970" w:type="dxa"/>
            <w:tcBorders>
              <w:top w:val="single" w:sz="8" w:space="0" w:color="FFFFFF"/>
              <w:left w:val="single" w:sz="8" w:space="0" w:color="FFFFFF"/>
              <w:bottom w:val="single" w:sz="8" w:space="0" w:color="FFFFFF"/>
              <w:right w:val="single" w:sz="8" w:space="0" w:color="FFFFFF"/>
            </w:tcBorders>
            <w:shd w:val="clear" w:color="auto" w:fill="CBE2F2"/>
            <w:tcMar>
              <w:top w:w="0" w:type="dxa"/>
              <w:left w:w="0" w:type="dxa"/>
              <w:bottom w:w="0" w:type="dxa"/>
              <w:right w:w="0" w:type="dxa"/>
            </w:tcMar>
            <w:vAlign w:val="center"/>
          </w:tcPr>
          <w:p w14:paraId="49A3CED8" w14:textId="77777777" w:rsidR="00F74C06" w:rsidRPr="00F74C06" w:rsidRDefault="00F74C06" w:rsidP="00F74C06">
            <w:pPr>
              <w:suppressAutoHyphens/>
              <w:autoSpaceDN w:val="0"/>
              <w:spacing w:after="0" w:line="240" w:lineRule="auto"/>
              <w:textAlignment w:val="baseline"/>
              <w:rPr>
                <w:lang w:val="pt-PT"/>
              </w:rPr>
            </w:pPr>
            <w:r w:rsidRPr="00F74C06">
              <w:rPr>
                <w:rFonts w:eastAsia="Times New Roman"/>
                <w:color w:val="000099"/>
                <w:kern w:val="3"/>
                <w:lang w:val="pt-BR" w:eastAsia="en-GB"/>
              </w:rPr>
              <w:t>Norela Constantinescu –ENTSO-E</w:t>
            </w:r>
          </w:p>
          <w:p w14:paraId="2C43217E" w14:textId="52DD07E5" w:rsidR="00F74C06" w:rsidRPr="00F74C06" w:rsidRDefault="00E36394" w:rsidP="00F74C06">
            <w:pPr>
              <w:suppressAutoHyphens/>
              <w:autoSpaceDN w:val="0"/>
              <w:spacing w:after="0" w:line="240" w:lineRule="auto"/>
              <w:textAlignment w:val="baseline"/>
              <w:rPr>
                <w:lang w:val="pt-PT"/>
              </w:rPr>
            </w:pPr>
            <w:r w:rsidRPr="009903DD">
              <w:rPr>
                <w:rFonts w:eastAsia="Times New Roman"/>
                <w:color w:val="000099"/>
                <w:kern w:val="3"/>
                <w:lang w:val="pt-BR" w:eastAsia="en-GB"/>
              </w:rPr>
              <w:t>Kalle Kukk </w:t>
            </w:r>
            <w:r w:rsidRPr="00F74C06">
              <w:rPr>
                <w:rFonts w:eastAsia="Times New Roman"/>
                <w:color w:val="000099"/>
                <w:kern w:val="3"/>
                <w:lang w:val="pt-BR" w:eastAsia="en-GB"/>
              </w:rPr>
              <w:t>–</w:t>
            </w:r>
            <w:r>
              <w:rPr>
                <w:rFonts w:eastAsia="Times New Roman"/>
                <w:color w:val="000099"/>
                <w:kern w:val="3"/>
                <w:lang w:val="pt-BR" w:eastAsia="en-GB"/>
              </w:rPr>
              <w:t xml:space="preserve"> </w:t>
            </w:r>
            <w:r w:rsidRPr="00F74C06">
              <w:rPr>
                <w:rFonts w:eastAsia="Times New Roman"/>
                <w:color w:val="000099"/>
                <w:kern w:val="3"/>
                <w:lang w:val="pt-BR" w:eastAsia="en-GB"/>
              </w:rPr>
              <w:t>E</w:t>
            </w:r>
            <w:r>
              <w:rPr>
                <w:rFonts w:eastAsia="Times New Roman"/>
                <w:color w:val="000099"/>
                <w:kern w:val="3"/>
                <w:lang w:val="pt-BR" w:eastAsia="en-GB"/>
              </w:rPr>
              <w:t xml:space="preserve">LERING </w:t>
            </w:r>
            <w:r w:rsidRPr="009903DD">
              <w:rPr>
                <w:rFonts w:eastAsia="Times New Roman"/>
                <w:color w:val="000099"/>
                <w:kern w:val="3"/>
                <w:lang w:val="pt-BR" w:eastAsia="en-GB"/>
              </w:rPr>
              <w:t>(*)</w:t>
            </w:r>
            <w:r w:rsidRPr="00F74C06" w:rsidDel="00E36394">
              <w:rPr>
                <w:rFonts w:eastAsia="Times New Roman"/>
                <w:color w:val="000099"/>
                <w:kern w:val="3"/>
                <w:lang w:val="pt-BR" w:eastAsia="en-GB"/>
              </w:rPr>
              <w:t xml:space="preserve"> </w:t>
            </w:r>
          </w:p>
        </w:tc>
      </w:tr>
      <w:tr w:rsidR="00EF0C24" w:rsidRPr="00F74C06" w14:paraId="71CAC580" w14:textId="77777777" w:rsidTr="00F74C06">
        <w:trPr>
          <w:trHeight w:hRule="exact" w:val="360"/>
        </w:trPr>
        <w:tc>
          <w:tcPr>
            <w:tcW w:w="2406" w:type="dxa"/>
            <w:vMerge/>
            <w:shd w:val="clear" w:color="auto" w:fill="auto"/>
            <w:tcMar>
              <w:top w:w="0" w:type="dxa"/>
              <w:left w:w="10" w:type="dxa"/>
              <w:bottom w:w="0" w:type="dxa"/>
              <w:right w:w="10" w:type="dxa"/>
            </w:tcMar>
          </w:tcPr>
          <w:p w14:paraId="1665FFEA" w14:textId="77777777" w:rsidR="00F74C06" w:rsidRPr="00F74C06" w:rsidRDefault="00F74C06" w:rsidP="00F74C06">
            <w:pPr>
              <w:suppressAutoHyphens/>
              <w:autoSpaceDN w:val="0"/>
              <w:spacing w:after="0" w:line="240" w:lineRule="auto"/>
              <w:textAlignment w:val="baseline"/>
              <w:rPr>
                <w:rFonts w:eastAsia="Times New Roman"/>
                <w:lang w:val="pt-PT"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62176F0D" w14:textId="77777777" w:rsidR="00F74C06" w:rsidRPr="00F74C06" w:rsidRDefault="00F74C06" w:rsidP="00F74C06">
            <w:pPr>
              <w:suppressAutoHyphens/>
              <w:autoSpaceDN w:val="0"/>
              <w:spacing w:after="0" w:line="240" w:lineRule="auto"/>
              <w:textAlignment w:val="baseline"/>
            </w:pPr>
            <w:r w:rsidRPr="00F74C06">
              <w:rPr>
                <w:rFonts w:eastAsia="Times New Roman"/>
                <w:b/>
                <w:bCs/>
                <w:color w:val="003399"/>
                <w:kern w:val="3"/>
                <w:lang w:eastAsia="en-GB"/>
              </w:rPr>
              <w:t>Orgalime/T&amp;D</w:t>
            </w:r>
          </w:p>
        </w:tc>
        <w:tc>
          <w:tcPr>
            <w:tcW w:w="2518"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vAlign w:val="center"/>
          </w:tcPr>
          <w:p w14:paraId="380C24A8" w14:textId="03525DAD" w:rsidR="00F74C06" w:rsidRPr="00F74C06" w:rsidRDefault="008F1A5B" w:rsidP="00F74C06">
            <w:pPr>
              <w:suppressAutoHyphens/>
              <w:autoSpaceDN w:val="0"/>
              <w:spacing w:after="0" w:line="240" w:lineRule="auto"/>
              <w:textAlignment w:val="baseline"/>
            </w:pPr>
            <w:r>
              <w:rPr>
                <w:rFonts w:eastAsia="Times New Roman"/>
                <w:color w:val="000099"/>
                <w:kern w:val="3"/>
                <w:lang w:eastAsia="en-GB"/>
              </w:rPr>
              <w:t>Jean-Luc Roy</w:t>
            </w:r>
            <w:r w:rsidR="001106AC">
              <w:rPr>
                <w:rFonts w:eastAsia="Times New Roman"/>
                <w:color w:val="000099"/>
                <w:kern w:val="3"/>
                <w:lang w:eastAsia="en-GB"/>
              </w:rPr>
              <w:t xml:space="preserve"> – GE </w:t>
            </w:r>
            <w:r w:rsidRPr="00F74C06">
              <w:rPr>
                <w:rFonts w:eastAsia="Times New Roman"/>
                <w:color w:val="000099"/>
                <w:kern w:val="3"/>
                <w:lang w:eastAsia="en-GB"/>
              </w:rPr>
              <w:t xml:space="preserve"> </w:t>
            </w:r>
            <w:r w:rsidR="00F74C06" w:rsidRPr="00F74C06">
              <w:rPr>
                <w:rFonts w:eastAsia="Times New Roman"/>
                <w:color w:val="000099"/>
                <w:kern w:val="3"/>
                <w:lang w:val="en-GB" w:eastAsia="en-GB"/>
              </w:rPr>
              <w:t>(*)</w:t>
            </w:r>
          </w:p>
        </w:tc>
        <w:tc>
          <w:tcPr>
            <w:tcW w:w="2970"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vAlign w:val="center"/>
          </w:tcPr>
          <w:p w14:paraId="44E72031" w14:textId="77777777" w:rsidR="00F74C06" w:rsidRPr="00F74C06" w:rsidRDefault="00F74C06" w:rsidP="00F74C06">
            <w:pPr>
              <w:suppressAutoHyphens/>
              <w:autoSpaceDN w:val="0"/>
              <w:spacing w:after="0" w:line="240" w:lineRule="auto"/>
              <w:textAlignment w:val="baseline"/>
            </w:pPr>
            <w:r w:rsidRPr="00F74C06">
              <w:rPr>
                <w:rFonts w:eastAsia="Calibri" w:cs="Times New Roman"/>
                <w:color w:val="000099"/>
                <w:kern w:val="3"/>
                <w:lang w:eastAsia="en-GB"/>
              </w:rPr>
              <w:t xml:space="preserve">Sigrid Linher </w:t>
            </w:r>
            <w:r w:rsidRPr="00F74C06">
              <w:rPr>
                <w:rFonts w:eastAsia="Times New Roman"/>
                <w:color w:val="000099"/>
                <w:kern w:val="3"/>
                <w:lang w:val="pt-BR" w:eastAsia="en-GB"/>
              </w:rPr>
              <w:t>–</w:t>
            </w:r>
            <w:r w:rsidRPr="00F74C06">
              <w:rPr>
                <w:rFonts w:eastAsia="Calibri" w:cs="Times New Roman"/>
                <w:color w:val="000099"/>
                <w:kern w:val="3"/>
                <w:lang w:eastAsia="en-GB"/>
              </w:rPr>
              <w:t xml:space="preserve"> ORGALIME</w:t>
            </w:r>
          </w:p>
        </w:tc>
      </w:tr>
      <w:tr w:rsidR="00EF0C24" w:rsidRPr="00F74C06" w14:paraId="78D622FC" w14:textId="77777777" w:rsidTr="00F74C06">
        <w:trPr>
          <w:trHeight w:hRule="exact" w:val="360"/>
        </w:trPr>
        <w:tc>
          <w:tcPr>
            <w:tcW w:w="2406" w:type="dxa"/>
            <w:vMerge/>
            <w:shd w:val="clear" w:color="auto" w:fill="auto"/>
            <w:tcMar>
              <w:top w:w="0" w:type="dxa"/>
              <w:left w:w="10" w:type="dxa"/>
              <w:bottom w:w="0" w:type="dxa"/>
              <w:right w:w="10" w:type="dxa"/>
            </w:tcMar>
          </w:tcPr>
          <w:p w14:paraId="0B07A734" w14:textId="77777777" w:rsidR="00F74C06" w:rsidRPr="00F74C06" w:rsidRDefault="00F74C06" w:rsidP="00F74C06">
            <w:pPr>
              <w:suppressAutoHyphens/>
              <w:autoSpaceDN w:val="0"/>
              <w:spacing w:after="0" w:line="240" w:lineRule="auto"/>
              <w:textAlignment w:val="baseline"/>
              <w:rPr>
                <w:rFonts w:eastAsia="Times New Roman"/>
                <w:lang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CBE2F2"/>
            <w:tcMar>
              <w:top w:w="15" w:type="dxa"/>
              <w:left w:w="101" w:type="dxa"/>
              <w:bottom w:w="0" w:type="dxa"/>
              <w:right w:w="101" w:type="dxa"/>
            </w:tcMar>
            <w:vAlign w:val="center"/>
          </w:tcPr>
          <w:p w14:paraId="3FA6385A" w14:textId="77777777" w:rsidR="00F74C06" w:rsidRPr="00F74C06" w:rsidRDefault="00F74C06" w:rsidP="00F74C06">
            <w:pPr>
              <w:suppressAutoHyphens/>
              <w:autoSpaceDN w:val="0"/>
              <w:spacing w:after="0" w:line="240" w:lineRule="auto"/>
              <w:textAlignment w:val="baseline"/>
            </w:pPr>
            <w:r w:rsidRPr="00F74C06">
              <w:rPr>
                <w:rFonts w:eastAsia="Times New Roman"/>
                <w:b/>
                <w:bCs/>
                <w:color w:val="003399"/>
                <w:kern w:val="3"/>
                <w:lang w:eastAsia="en-GB"/>
              </w:rPr>
              <w:t>ESMIG</w:t>
            </w:r>
          </w:p>
        </w:tc>
        <w:tc>
          <w:tcPr>
            <w:tcW w:w="2518" w:type="dxa"/>
            <w:tcBorders>
              <w:top w:val="single" w:sz="8" w:space="0" w:color="FFFFFF"/>
              <w:left w:val="single" w:sz="8" w:space="0" w:color="FFFFFF"/>
              <w:bottom w:val="single" w:sz="8" w:space="0" w:color="FFFFFF"/>
              <w:right w:val="single" w:sz="8" w:space="0" w:color="FFFFFF"/>
            </w:tcBorders>
            <w:shd w:val="clear" w:color="auto" w:fill="CBE2F2"/>
            <w:tcMar>
              <w:top w:w="0" w:type="dxa"/>
              <w:left w:w="0" w:type="dxa"/>
              <w:bottom w:w="0" w:type="dxa"/>
              <w:right w:w="0" w:type="dxa"/>
            </w:tcMar>
            <w:vAlign w:val="center"/>
          </w:tcPr>
          <w:p w14:paraId="66CCB2F4" w14:textId="77777777" w:rsidR="00F74C06" w:rsidRPr="00F74C06" w:rsidRDefault="00F74C06" w:rsidP="00F74C06">
            <w:pPr>
              <w:suppressAutoHyphens/>
              <w:autoSpaceDN w:val="0"/>
              <w:spacing w:after="0" w:line="240" w:lineRule="auto"/>
              <w:textAlignment w:val="baseline"/>
            </w:pPr>
            <w:r w:rsidRPr="00F74C06">
              <w:rPr>
                <w:rFonts w:eastAsia="Calibri" w:cs="Times New Roman"/>
                <w:color w:val="000099"/>
                <w:kern w:val="3"/>
                <w:lang w:eastAsia="en-GB"/>
              </w:rPr>
              <w:t xml:space="preserve">Miguel Gaspar </w:t>
            </w:r>
            <w:r w:rsidRPr="00F74C06">
              <w:rPr>
                <w:rFonts w:eastAsia="Times New Roman"/>
                <w:color w:val="000099"/>
                <w:kern w:val="3"/>
                <w:lang w:eastAsia="en-GB"/>
              </w:rPr>
              <w:t xml:space="preserve">– </w:t>
            </w:r>
            <w:r w:rsidRPr="00F74C06">
              <w:rPr>
                <w:rFonts w:eastAsia="Calibri" w:cs="Times New Roman"/>
                <w:color w:val="000099"/>
                <w:kern w:val="3"/>
                <w:lang w:eastAsia="en-GB"/>
              </w:rPr>
              <w:t>SAP</w:t>
            </w:r>
          </w:p>
        </w:tc>
        <w:tc>
          <w:tcPr>
            <w:tcW w:w="2970" w:type="dxa"/>
            <w:tcBorders>
              <w:top w:val="single" w:sz="8" w:space="0" w:color="FFFFFF"/>
              <w:left w:val="single" w:sz="8" w:space="0" w:color="FFFFFF"/>
              <w:bottom w:val="single" w:sz="8" w:space="0" w:color="FFFFFF"/>
              <w:right w:val="single" w:sz="8" w:space="0" w:color="FFFFFF"/>
            </w:tcBorders>
            <w:shd w:val="clear" w:color="auto" w:fill="CBE2F2"/>
            <w:tcMar>
              <w:top w:w="0" w:type="dxa"/>
              <w:left w:w="0" w:type="dxa"/>
              <w:bottom w:w="0" w:type="dxa"/>
              <w:right w:w="0" w:type="dxa"/>
            </w:tcMar>
            <w:vAlign w:val="center"/>
          </w:tcPr>
          <w:p w14:paraId="55FA27CF" w14:textId="77777777" w:rsidR="00F74C06" w:rsidRPr="00F74C06" w:rsidRDefault="00F74C06" w:rsidP="00F74C06">
            <w:pPr>
              <w:suppressAutoHyphens/>
              <w:autoSpaceDN w:val="0"/>
              <w:spacing w:after="0" w:line="240" w:lineRule="auto"/>
              <w:textAlignment w:val="baseline"/>
            </w:pPr>
            <w:r w:rsidRPr="00F74C06">
              <w:rPr>
                <w:rFonts w:eastAsia="Calibri" w:cs="Times New Roman"/>
                <w:color w:val="000099"/>
                <w:kern w:val="3"/>
                <w:lang w:eastAsia="en-GB"/>
              </w:rPr>
              <w:t xml:space="preserve">Willem Strabbing </w:t>
            </w:r>
            <w:r w:rsidRPr="00F74C06">
              <w:rPr>
                <w:rFonts w:eastAsia="Times New Roman"/>
                <w:color w:val="000099"/>
                <w:kern w:val="3"/>
                <w:lang w:val="pt-BR" w:eastAsia="en-GB"/>
              </w:rPr>
              <w:t>–ESMIG</w:t>
            </w:r>
          </w:p>
        </w:tc>
      </w:tr>
      <w:tr w:rsidR="00EF0C24" w:rsidRPr="00F74C06" w14:paraId="77FFF062" w14:textId="77777777" w:rsidTr="00F74C06">
        <w:trPr>
          <w:trHeight w:hRule="exact" w:val="610"/>
        </w:trPr>
        <w:tc>
          <w:tcPr>
            <w:tcW w:w="2406" w:type="dxa"/>
            <w:vMerge/>
            <w:shd w:val="clear" w:color="auto" w:fill="auto"/>
            <w:tcMar>
              <w:top w:w="0" w:type="dxa"/>
              <w:left w:w="10" w:type="dxa"/>
              <w:bottom w:w="0" w:type="dxa"/>
              <w:right w:w="10" w:type="dxa"/>
            </w:tcMar>
          </w:tcPr>
          <w:p w14:paraId="4A09283D" w14:textId="77777777" w:rsidR="00F74C06" w:rsidRPr="00F74C06" w:rsidRDefault="00F74C06" w:rsidP="00F74C06">
            <w:pPr>
              <w:suppressAutoHyphens/>
              <w:autoSpaceDN w:val="0"/>
              <w:spacing w:after="0" w:line="240" w:lineRule="auto"/>
              <w:textAlignment w:val="baseline"/>
              <w:rPr>
                <w:rFonts w:eastAsia="Times New Roman"/>
                <w:lang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5C598E64" w14:textId="77777777" w:rsidR="00F74C06" w:rsidRPr="00F74C06" w:rsidRDefault="00F74C06" w:rsidP="00F74C06">
            <w:pPr>
              <w:suppressAutoHyphens/>
              <w:autoSpaceDN w:val="0"/>
              <w:spacing w:after="0" w:line="240" w:lineRule="auto"/>
              <w:textAlignment w:val="baseline"/>
            </w:pPr>
            <w:r w:rsidRPr="00F74C06">
              <w:rPr>
                <w:rFonts w:eastAsia="Times New Roman"/>
                <w:b/>
                <w:bCs/>
                <w:color w:val="003399"/>
                <w:kern w:val="3"/>
                <w:lang w:eastAsia="en-GB"/>
              </w:rPr>
              <w:t>ANEC/BEUC (5)</w:t>
            </w:r>
          </w:p>
        </w:tc>
        <w:tc>
          <w:tcPr>
            <w:tcW w:w="2518"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vAlign w:val="center"/>
          </w:tcPr>
          <w:p w14:paraId="72B8712F" w14:textId="77777777" w:rsidR="00F74C06" w:rsidRPr="00F74C06" w:rsidRDefault="00F74C06" w:rsidP="00F74C06">
            <w:pPr>
              <w:suppressAutoHyphens/>
              <w:autoSpaceDN w:val="0"/>
              <w:spacing w:after="0" w:line="240" w:lineRule="auto"/>
              <w:textAlignment w:val="baseline"/>
            </w:pPr>
            <w:r w:rsidRPr="00F74C06">
              <w:rPr>
                <w:rFonts w:eastAsia="Times New Roman"/>
                <w:color w:val="000099"/>
                <w:kern w:val="3"/>
                <w:lang w:eastAsia="en-GB"/>
              </w:rPr>
              <w:t xml:space="preserve">Neil Avery </w:t>
            </w:r>
            <w:r w:rsidRPr="00F74C06">
              <w:rPr>
                <w:rFonts w:eastAsia="Times New Roman"/>
                <w:color w:val="000099"/>
                <w:kern w:val="3"/>
                <w:lang w:val="pt-BR" w:eastAsia="en-GB"/>
              </w:rPr>
              <w:t>–</w:t>
            </w:r>
            <w:r w:rsidRPr="00F74C06">
              <w:rPr>
                <w:rFonts w:eastAsia="Times New Roman"/>
                <w:color w:val="000099"/>
                <w:kern w:val="3"/>
                <w:lang w:eastAsia="en-GB"/>
              </w:rPr>
              <w:t xml:space="preserve"> ANEC</w:t>
            </w:r>
          </w:p>
        </w:tc>
        <w:tc>
          <w:tcPr>
            <w:tcW w:w="2970"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vAlign w:val="center"/>
          </w:tcPr>
          <w:p w14:paraId="28DB16A1" w14:textId="477B9F62" w:rsidR="00F74C06" w:rsidRPr="00F74C06" w:rsidRDefault="00F74C06" w:rsidP="00F74C06">
            <w:pPr>
              <w:suppressAutoHyphens/>
              <w:autoSpaceDN w:val="0"/>
              <w:spacing w:after="0" w:line="240" w:lineRule="auto"/>
              <w:textAlignment w:val="baseline"/>
            </w:pPr>
            <w:proofErr w:type="spellStart"/>
            <w:r>
              <w:rPr>
                <w:rFonts w:eastAsia="Times New Roman"/>
                <w:color w:val="000099"/>
                <w:kern w:val="3"/>
                <w:szCs w:val="22"/>
                <w:lang w:val="en-GB" w:eastAsia="en-GB"/>
              </w:rPr>
              <w:t>Ieva</w:t>
            </w:r>
            <w:proofErr w:type="spellEnd"/>
            <w:r>
              <w:rPr>
                <w:rFonts w:eastAsia="Times New Roman"/>
                <w:color w:val="000099"/>
                <w:kern w:val="3"/>
                <w:szCs w:val="22"/>
                <w:lang w:val="en-GB" w:eastAsia="en-GB"/>
              </w:rPr>
              <w:t xml:space="preserve"> </w:t>
            </w:r>
            <w:proofErr w:type="spellStart"/>
            <w:r>
              <w:rPr>
                <w:rFonts w:eastAsia="Times New Roman"/>
                <w:color w:val="000099"/>
                <w:kern w:val="3"/>
                <w:szCs w:val="22"/>
                <w:lang w:val="en-GB" w:eastAsia="en-GB"/>
              </w:rPr>
              <w:t>Galkytè</w:t>
            </w:r>
            <w:proofErr w:type="spellEnd"/>
            <w:r w:rsidRPr="00F74C06">
              <w:rPr>
                <w:rFonts w:eastAsia="Times New Roman"/>
                <w:color w:val="000099"/>
                <w:kern w:val="3"/>
                <w:lang w:val="en-GB" w:eastAsia="en-GB"/>
              </w:rPr>
              <w:t xml:space="preserve"> – ANEC</w:t>
            </w:r>
            <w:r w:rsidRPr="00F74C06">
              <w:rPr>
                <w:rFonts w:eastAsia="Calibri" w:cs="Times New Roman"/>
                <w:color w:val="000099"/>
                <w:kern w:val="3"/>
                <w:lang w:val="sv-SE" w:eastAsia="en-GB"/>
              </w:rPr>
              <w:t xml:space="preserve">  </w:t>
            </w:r>
            <w:r w:rsidRPr="00F74C06">
              <w:rPr>
                <w:rFonts w:eastAsia="Times New Roman"/>
                <w:color w:val="000099"/>
                <w:kern w:val="3"/>
                <w:lang w:val="en-GB" w:eastAsia="en-GB"/>
              </w:rPr>
              <w:t>(*)</w:t>
            </w:r>
          </w:p>
        </w:tc>
      </w:tr>
      <w:tr w:rsidR="00EF0C24" w:rsidRPr="00F74C06" w14:paraId="1272D6B1" w14:textId="77777777" w:rsidTr="00F74C06">
        <w:trPr>
          <w:trHeight w:hRule="exact" w:val="620"/>
        </w:trPr>
        <w:tc>
          <w:tcPr>
            <w:tcW w:w="2406" w:type="dxa"/>
            <w:vMerge/>
            <w:shd w:val="clear" w:color="auto" w:fill="auto"/>
            <w:tcMar>
              <w:top w:w="0" w:type="dxa"/>
              <w:left w:w="10" w:type="dxa"/>
              <w:bottom w:w="0" w:type="dxa"/>
              <w:right w:w="10" w:type="dxa"/>
            </w:tcMar>
          </w:tcPr>
          <w:p w14:paraId="30B5CDE6" w14:textId="77777777" w:rsidR="00F74C06" w:rsidRPr="00F74C06" w:rsidRDefault="00F74C06" w:rsidP="00F74C06">
            <w:pPr>
              <w:suppressAutoHyphens/>
              <w:autoSpaceDN w:val="0"/>
              <w:spacing w:after="0" w:line="240" w:lineRule="auto"/>
              <w:textAlignment w:val="baseline"/>
              <w:rPr>
                <w:rFonts w:eastAsia="Times New Roman"/>
                <w:lang w:val="sv-SE"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CBE2F2"/>
            <w:tcMar>
              <w:top w:w="15" w:type="dxa"/>
              <w:left w:w="101" w:type="dxa"/>
              <w:bottom w:w="0" w:type="dxa"/>
              <w:right w:w="101" w:type="dxa"/>
            </w:tcMar>
            <w:vAlign w:val="center"/>
          </w:tcPr>
          <w:p w14:paraId="49A8B26B" w14:textId="77777777" w:rsidR="00F74C06" w:rsidRPr="00F74C06" w:rsidRDefault="00F74C06" w:rsidP="00F74C06">
            <w:pPr>
              <w:suppressAutoHyphens/>
              <w:autoSpaceDN w:val="0"/>
              <w:spacing w:after="0" w:line="240" w:lineRule="auto"/>
              <w:textAlignment w:val="baseline"/>
            </w:pPr>
            <w:r w:rsidRPr="00F74C06">
              <w:rPr>
                <w:rFonts w:eastAsia="Calibri" w:cs="Times New Roman"/>
                <w:b/>
                <w:bCs/>
                <w:color w:val="003399"/>
                <w:kern w:val="3"/>
                <w:lang w:eastAsia="en-GB"/>
              </w:rPr>
              <w:t xml:space="preserve">SmartEn </w:t>
            </w:r>
            <w:r w:rsidRPr="00F74C06">
              <w:rPr>
                <w:rFonts w:eastAsia="Calibri" w:cs="Times New Roman"/>
                <w:b/>
                <w:bCs/>
                <w:color w:val="003399"/>
                <w:kern w:val="3"/>
                <w:sz w:val="18"/>
                <w:szCs w:val="18"/>
                <w:lang w:eastAsia="en-GB"/>
              </w:rPr>
              <w:t>[(*) former SEDC]</w:t>
            </w:r>
          </w:p>
        </w:tc>
        <w:tc>
          <w:tcPr>
            <w:tcW w:w="2518" w:type="dxa"/>
            <w:tcBorders>
              <w:top w:val="single" w:sz="8" w:space="0" w:color="FFFFFF"/>
              <w:left w:val="single" w:sz="8" w:space="0" w:color="FFFFFF"/>
              <w:bottom w:val="single" w:sz="8" w:space="0" w:color="FFFFFF"/>
              <w:right w:val="single" w:sz="8" w:space="0" w:color="FFFFFF"/>
            </w:tcBorders>
            <w:shd w:val="clear" w:color="auto" w:fill="CBE2F2"/>
            <w:tcMar>
              <w:top w:w="0" w:type="dxa"/>
              <w:left w:w="0" w:type="dxa"/>
              <w:bottom w:w="0" w:type="dxa"/>
              <w:right w:w="0" w:type="dxa"/>
            </w:tcMar>
            <w:vAlign w:val="center"/>
          </w:tcPr>
          <w:p w14:paraId="67D17FBF" w14:textId="64459F6E" w:rsidR="00F74C06" w:rsidRPr="00F74C06" w:rsidRDefault="00F74C06" w:rsidP="00F74C06">
            <w:pPr>
              <w:suppressAutoHyphens/>
              <w:autoSpaceDN w:val="0"/>
              <w:spacing w:after="0" w:line="240" w:lineRule="auto"/>
              <w:textAlignment w:val="baseline"/>
            </w:pPr>
            <w:r w:rsidRPr="00F74C06">
              <w:rPr>
                <w:rFonts w:eastAsia="Calibri" w:cs="Times New Roman"/>
                <w:color w:val="000099"/>
                <w:kern w:val="3"/>
                <w:lang w:eastAsia="en-GB"/>
              </w:rPr>
              <w:t xml:space="preserve">Chris King </w:t>
            </w:r>
            <w:r w:rsidRPr="00F74C06">
              <w:rPr>
                <w:rFonts w:eastAsia="Times New Roman"/>
                <w:color w:val="000099"/>
                <w:kern w:val="3"/>
                <w:lang w:val="en-GB" w:eastAsia="en-GB"/>
              </w:rPr>
              <w:t>–</w:t>
            </w:r>
            <w:r w:rsidRPr="00F74C06">
              <w:rPr>
                <w:rFonts w:eastAsia="Calibri" w:cs="Times New Roman"/>
                <w:color w:val="000099"/>
                <w:kern w:val="3"/>
                <w:lang w:eastAsia="en-GB"/>
              </w:rPr>
              <w:t xml:space="preserve"> Siemens Digital Grid</w:t>
            </w:r>
            <w:r w:rsidRPr="00F74C06">
              <w:rPr>
                <w:rFonts w:eastAsia="Times New Roman"/>
                <w:color w:val="000099"/>
                <w:kern w:val="3"/>
                <w:lang w:eastAsia="en-GB"/>
              </w:rPr>
              <w:t xml:space="preserve"> </w:t>
            </w:r>
          </w:p>
        </w:tc>
        <w:tc>
          <w:tcPr>
            <w:tcW w:w="2970" w:type="dxa"/>
            <w:tcBorders>
              <w:top w:val="single" w:sz="8" w:space="0" w:color="FFFFFF"/>
              <w:left w:val="single" w:sz="8" w:space="0" w:color="FFFFFF"/>
              <w:bottom w:val="single" w:sz="8" w:space="0" w:color="FFFFFF"/>
              <w:right w:val="single" w:sz="8" w:space="0" w:color="FFFFFF"/>
            </w:tcBorders>
            <w:shd w:val="clear" w:color="auto" w:fill="CBE2F2"/>
            <w:tcMar>
              <w:top w:w="0" w:type="dxa"/>
              <w:left w:w="0" w:type="dxa"/>
              <w:bottom w:w="0" w:type="dxa"/>
              <w:right w:w="0" w:type="dxa"/>
            </w:tcMar>
            <w:vAlign w:val="center"/>
          </w:tcPr>
          <w:p w14:paraId="6B1EAA29" w14:textId="4FB1D105" w:rsidR="00F74C06" w:rsidRPr="00F74C06" w:rsidRDefault="00F74C06" w:rsidP="00F74C06">
            <w:pPr>
              <w:suppressAutoHyphens/>
              <w:autoSpaceDN w:val="0"/>
              <w:spacing w:after="0" w:line="240" w:lineRule="auto"/>
              <w:textAlignment w:val="baseline"/>
            </w:pPr>
            <w:r>
              <w:rPr>
                <w:rFonts w:eastAsia="Times New Roman"/>
                <w:color w:val="000099"/>
                <w:kern w:val="3"/>
                <w:lang w:eastAsia="en-GB"/>
              </w:rPr>
              <w:t>Layla Sawyer</w:t>
            </w:r>
            <w:r w:rsidRPr="00F74C06">
              <w:rPr>
                <w:rFonts w:eastAsia="Times New Roman"/>
                <w:color w:val="000099"/>
                <w:kern w:val="3"/>
                <w:lang w:eastAsia="en-GB"/>
              </w:rPr>
              <w:t xml:space="preserve"> </w:t>
            </w:r>
            <w:r w:rsidRPr="00F74C06">
              <w:rPr>
                <w:rFonts w:eastAsia="Times New Roman"/>
                <w:color w:val="000099"/>
                <w:kern w:val="3"/>
                <w:lang w:val="pt-BR" w:eastAsia="en-GB"/>
              </w:rPr>
              <w:t>–</w:t>
            </w:r>
            <w:r w:rsidRPr="00F74C06">
              <w:rPr>
                <w:rFonts w:eastAsia="Times New Roman"/>
                <w:color w:val="000099"/>
                <w:kern w:val="3"/>
                <w:lang w:eastAsia="en-GB"/>
              </w:rPr>
              <w:t xml:space="preserve"> SmartEn</w:t>
            </w:r>
            <w:r>
              <w:rPr>
                <w:rFonts w:eastAsia="Times New Roman"/>
                <w:color w:val="000099"/>
                <w:kern w:val="3"/>
                <w:lang w:eastAsia="en-GB"/>
              </w:rPr>
              <w:t xml:space="preserve"> </w:t>
            </w:r>
            <w:r w:rsidRPr="00F74C06">
              <w:rPr>
                <w:rFonts w:eastAsia="Times New Roman"/>
                <w:color w:val="000099"/>
                <w:kern w:val="3"/>
                <w:lang w:val="en-GB" w:eastAsia="en-GB"/>
              </w:rPr>
              <w:t>(*)</w:t>
            </w:r>
          </w:p>
        </w:tc>
      </w:tr>
      <w:tr w:rsidR="00EF0C24" w:rsidRPr="00F74C06" w14:paraId="060C87DD" w14:textId="77777777" w:rsidTr="00F74C06">
        <w:trPr>
          <w:trHeight w:hRule="exact" w:val="620"/>
        </w:trPr>
        <w:tc>
          <w:tcPr>
            <w:tcW w:w="2406" w:type="dxa"/>
            <w:vMerge/>
            <w:shd w:val="clear" w:color="auto" w:fill="auto"/>
            <w:tcMar>
              <w:top w:w="0" w:type="dxa"/>
              <w:left w:w="10" w:type="dxa"/>
              <w:bottom w:w="0" w:type="dxa"/>
              <w:right w:w="10" w:type="dxa"/>
            </w:tcMar>
          </w:tcPr>
          <w:p w14:paraId="5AA2F813" w14:textId="77777777" w:rsidR="00F74C06" w:rsidRPr="00F74C06" w:rsidRDefault="00F74C06" w:rsidP="00F74C06">
            <w:pPr>
              <w:suppressAutoHyphens/>
              <w:autoSpaceDN w:val="0"/>
              <w:spacing w:after="0" w:line="240" w:lineRule="auto"/>
              <w:textAlignment w:val="baseline"/>
              <w:rPr>
                <w:rFonts w:eastAsia="Times New Roman"/>
                <w:lang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3913DE73" w14:textId="77777777" w:rsidR="00F74C06" w:rsidRPr="00F74C06" w:rsidRDefault="00F74C06" w:rsidP="00F74C06">
            <w:pPr>
              <w:suppressAutoHyphens/>
              <w:autoSpaceDN w:val="0"/>
              <w:spacing w:after="0" w:line="240" w:lineRule="auto"/>
              <w:textAlignment w:val="baseline"/>
            </w:pPr>
            <w:r w:rsidRPr="00F74C06">
              <w:rPr>
                <w:rFonts w:eastAsia="Times New Roman"/>
                <w:b/>
                <w:bCs/>
                <w:color w:val="003399"/>
                <w:kern w:val="3"/>
                <w:lang w:eastAsia="en-GB"/>
              </w:rPr>
              <w:t>ENTSO-G (4)</w:t>
            </w:r>
          </w:p>
        </w:tc>
        <w:tc>
          <w:tcPr>
            <w:tcW w:w="2518"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vAlign w:val="center"/>
          </w:tcPr>
          <w:p w14:paraId="4A49AAAF" w14:textId="73AC9111" w:rsidR="00F74C06" w:rsidRPr="00F74C06" w:rsidRDefault="00F74C06" w:rsidP="00F74C06">
            <w:pPr>
              <w:suppressAutoHyphens/>
              <w:autoSpaceDN w:val="0"/>
              <w:spacing w:after="0" w:line="240" w:lineRule="auto"/>
              <w:textAlignment w:val="baseline"/>
            </w:pPr>
            <w:r w:rsidRPr="00F74C06">
              <w:rPr>
                <w:rFonts w:eastAsia="Times New Roman"/>
                <w:color w:val="000099"/>
                <w:kern w:val="3"/>
                <w:szCs w:val="22"/>
                <w:lang w:eastAsia="en-GB"/>
              </w:rPr>
              <w:t>Marin Zwetkow</w:t>
            </w:r>
            <w:r w:rsidRPr="00F74C06">
              <w:rPr>
                <w:rFonts w:eastAsia="Times New Roman"/>
                <w:color w:val="000099"/>
                <w:kern w:val="3"/>
                <w:lang w:eastAsia="en-GB"/>
              </w:rPr>
              <w:t xml:space="preserve"> – ENTSOG </w:t>
            </w:r>
          </w:p>
          <w:p w14:paraId="0725CB4D" w14:textId="77777777" w:rsidR="00F74C06" w:rsidRPr="00F74C06" w:rsidRDefault="00F74C06" w:rsidP="00F74C06">
            <w:pPr>
              <w:suppressAutoHyphens/>
              <w:autoSpaceDN w:val="0"/>
              <w:spacing w:after="0" w:line="240" w:lineRule="auto"/>
              <w:textAlignment w:val="baseline"/>
            </w:pPr>
            <w:r w:rsidRPr="00F74C06">
              <w:rPr>
                <w:rFonts w:eastAsia="Times New Roman"/>
                <w:color w:val="000099"/>
                <w:kern w:val="3"/>
                <w:lang w:eastAsia="en-GB"/>
              </w:rPr>
              <w:t>Jef de Keyser – ENTSOG</w:t>
            </w:r>
          </w:p>
        </w:tc>
        <w:tc>
          <w:tcPr>
            <w:tcW w:w="2970"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vAlign w:val="center"/>
          </w:tcPr>
          <w:p w14:paraId="4FF506A3" w14:textId="77777777" w:rsidR="00F74C06" w:rsidRPr="00F74C06" w:rsidRDefault="00F74C06" w:rsidP="00F74C06">
            <w:pPr>
              <w:suppressAutoHyphens/>
              <w:autoSpaceDN w:val="0"/>
              <w:spacing w:after="0" w:line="240" w:lineRule="auto"/>
              <w:textAlignment w:val="baseline"/>
              <w:rPr>
                <w:rFonts w:eastAsia="Times New Roman"/>
                <w:b/>
                <w:bCs/>
                <w:color w:val="003399"/>
                <w:kern w:val="3"/>
                <w:lang w:eastAsia="en-GB"/>
              </w:rPr>
            </w:pPr>
          </w:p>
        </w:tc>
      </w:tr>
      <w:tr w:rsidR="00EF0C24" w:rsidRPr="00F74C06" w14:paraId="36A24B7C" w14:textId="77777777" w:rsidTr="00F74C06">
        <w:trPr>
          <w:trHeight w:hRule="exact" w:val="360"/>
        </w:trPr>
        <w:tc>
          <w:tcPr>
            <w:tcW w:w="2406" w:type="dxa"/>
            <w:vMerge/>
            <w:shd w:val="clear" w:color="auto" w:fill="auto"/>
            <w:tcMar>
              <w:top w:w="0" w:type="dxa"/>
              <w:left w:w="10" w:type="dxa"/>
              <w:bottom w:w="0" w:type="dxa"/>
              <w:right w:w="10" w:type="dxa"/>
            </w:tcMar>
          </w:tcPr>
          <w:p w14:paraId="29C4EB4C" w14:textId="77777777" w:rsidR="00F74C06" w:rsidRPr="00F74C06" w:rsidRDefault="00F74C06" w:rsidP="00F74C06">
            <w:pPr>
              <w:suppressAutoHyphens/>
              <w:autoSpaceDN w:val="0"/>
              <w:spacing w:after="0" w:line="240" w:lineRule="auto"/>
              <w:textAlignment w:val="baseline"/>
              <w:rPr>
                <w:rFonts w:eastAsia="Times New Roman"/>
                <w:lang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CBE2F2"/>
            <w:tcMar>
              <w:top w:w="15" w:type="dxa"/>
              <w:left w:w="101" w:type="dxa"/>
              <w:bottom w:w="0" w:type="dxa"/>
              <w:right w:w="101" w:type="dxa"/>
            </w:tcMar>
            <w:vAlign w:val="center"/>
          </w:tcPr>
          <w:p w14:paraId="02839D6D" w14:textId="77777777" w:rsidR="00F74C06" w:rsidRPr="00F74C06" w:rsidRDefault="00F74C06" w:rsidP="00F74C06">
            <w:pPr>
              <w:suppressAutoHyphens/>
              <w:autoSpaceDN w:val="0"/>
              <w:spacing w:after="0" w:line="240" w:lineRule="auto"/>
              <w:textAlignment w:val="baseline"/>
            </w:pPr>
            <w:proofErr w:type="spellStart"/>
            <w:r w:rsidRPr="00F74C06">
              <w:rPr>
                <w:rFonts w:eastAsia="Calibri" w:cs="Times New Roman"/>
                <w:b/>
                <w:bCs/>
                <w:color w:val="003399"/>
                <w:kern w:val="3"/>
                <w:lang w:val="fr-BE" w:eastAsia="en-GB"/>
              </w:rPr>
              <w:t>Eurogas</w:t>
            </w:r>
            <w:proofErr w:type="spellEnd"/>
            <w:r w:rsidRPr="00F74C06">
              <w:rPr>
                <w:rFonts w:eastAsia="Calibri" w:cs="Times New Roman"/>
                <w:b/>
                <w:bCs/>
                <w:color w:val="003399"/>
                <w:kern w:val="3"/>
                <w:lang w:val="fr-BE" w:eastAsia="en-GB"/>
              </w:rPr>
              <w:t xml:space="preserve"> (1)</w:t>
            </w:r>
          </w:p>
        </w:tc>
        <w:tc>
          <w:tcPr>
            <w:tcW w:w="2518" w:type="dxa"/>
            <w:tcBorders>
              <w:top w:val="single" w:sz="8" w:space="0" w:color="FFFFFF"/>
              <w:left w:val="single" w:sz="8" w:space="0" w:color="FFFFFF"/>
              <w:bottom w:val="single" w:sz="8" w:space="0" w:color="FFFFFF"/>
              <w:right w:val="single" w:sz="8" w:space="0" w:color="FFFFFF"/>
            </w:tcBorders>
            <w:shd w:val="clear" w:color="auto" w:fill="CBE2F2"/>
            <w:tcMar>
              <w:top w:w="0" w:type="dxa"/>
              <w:left w:w="0" w:type="dxa"/>
              <w:bottom w:w="0" w:type="dxa"/>
              <w:right w:w="0" w:type="dxa"/>
            </w:tcMar>
            <w:vAlign w:val="center"/>
          </w:tcPr>
          <w:p w14:paraId="0E3B17C5" w14:textId="77777777" w:rsidR="00F74C06" w:rsidRPr="00F74C06" w:rsidRDefault="00F74C06" w:rsidP="00F74C06">
            <w:pPr>
              <w:suppressAutoHyphens/>
              <w:autoSpaceDN w:val="0"/>
              <w:spacing w:after="0" w:line="240" w:lineRule="auto"/>
              <w:textAlignment w:val="baseline"/>
            </w:pPr>
            <w:r w:rsidRPr="00F74C06">
              <w:rPr>
                <w:rFonts w:eastAsia="Calibri" w:cs="Times New Roman"/>
                <w:color w:val="000099"/>
                <w:kern w:val="3"/>
                <w:lang w:eastAsia="en-GB"/>
              </w:rPr>
              <w:t xml:space="preserve">Julien Quainon </w:t>
            </w:r>
            <w:r w:rsidRPr="00F74C06">
              <w:rPr>
                <w:rFonts w:eastAsia="Times New Roman"/>
                <w:color w:val="000099"/>
                <w:kern w:val="3"/>
                <w:lang w:eastAsia="en-GB"/>
              </w:rPr>
              <w:t xml:space="preserve">– </w:t>
            </w:r>
            <w:r w:rsidRPr="00F74C06">
              <w:rPr>
                <w:rFonts w:eastAsia="Calibri" w:cs="Times New Roman"/>
                <w:color w:val="000099"/>
                <w:kern w:val="3"/>
                <w:lang w:eastAsia="en-GB"/>
              </w:rPr>
              <w:t>DSO GRDF</w:t>
            </w:r>
          </w:p>
        </w:tc>
        <w:tc>
          <w:tcPr>
            <w:tcW w:w="2970" w:type="dxa"/>
            <w:tcBorders>
              <w:top w:val="single" w:sz="8" w:space="0" w:color="FFFFFF"/>
              <w:left w:val="single" w:sz="8" w:space="0" w:color="FFFFFF"/>
              <w:bottom w:val="single" w:sz="8" w:space="0" w:color="FFFFFF"/>
              <w:right w:val="single" w:sz="8" w:space="0" w:color="FFFFFF"/>
            </w:tcBorders>
            <w:shd w:val="clear" w:color="auto" w:fill="CBE2F2"/>
            <w:tcMar>
              <w:top w:w="0" w:type="dxa"/>
              <w:left w:w="0" w:type="dxa"/>
              <w:bottom w:w="0" w:type="dxa"/>
              <w:right w:w="0" w:type="dxa"/>
            </w:tcMar>
            <w:vAlign w:val="center"/>
          </w:tcPr>
          <w:p w14:paraId="0C0BAAC0" w14:textId="77777777" w:rsidR="00F74C06" w:rsidRPr="00F74C06" w:rsidRDefault="00F74C06" w:rsidP="00F74C06">
            <w:pPr>
              <w:suppressAutoHyphens/>
              <w:autoSpaceDN w:val="0"/>
              <w:spacing w:after="0" w:line="240" w:lineRule="auto"/>
              <w:textAlignment w:val="baseline"/>
            </w:pPr>
            <w:r w:rsidRPr="00F74C06">
              <w:rPr>
                <w:rFonts w:eastAsia="Calibri" w:cs="Times New Roman"/>
                <w:color w:val="000099"/>
                <w:kern w:val="3"/>
                <w:lang w:val="fr-BE" w:eastAsia="en-GB"/>
              </w:rPr>
              <w:t xml:space="preserve"> </w:t>
            </w:r>
          </w:p>
        </w:tc>
      </w:tr>
      <w:tr w:rsidR="00EF0C24" w:rsidRPr="00F74C06" w14:paraId="6F261865" w14:textId="77777777" w:rsidTr="007605AA">
        <w:trPr>
          <w:trHeight w:hRule="exact" w:val="596"/>
        </w:trPr>
        <w:tc>
          <w:tcPr>
            <w:tcW w:w="2406" w:type="dxa"/>
            <w:vMerge/>
            <w:shd w:val="clear" w:color="auto" w:fill="auto"/>
            <w:tcMar>
              <w:top w:w="0" w:type="dxa"/>
              <w:left w:w="10" w:type="dxa"/>
              <w:bottom w:w="0" w:type="dxa"/>
              <w:right w:w="10" w:type="dxa"/>
            </w:tcMar>
          </w:tcPr>
          <w:p w14:paraId="0B36B5AF" w14:textId="77777777" w:rsidR="00F74C06" w:rsidRPr="00F74C06" w:rsidRDefault="00F74C06" w:rsidP="00F74C06">
            <w:pPr>
              <w:suppressAutoHyphens/>
              <w:autoSpaceDN w:val="0"/>
              <w:spacing w:after="0" w:line="240" w:lineRule="auto"/>
              <w:textAlignment w:val="baseline"/>
              <w:rPr>
                <w:rFonts w:eastAsia="Times New Roman"/>
                <w:lang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4CE4A1B0" w14:textId="77777777" w:rsidR="00F74C06" w:rsidRPr="00F74C06" w:rsidRDefault="00F74C06" w:rsidP="00F74C06">
            <w:pPr>
              <w:suppressAutoHyphens/>
              <w:autoSpaceDN w:val="0"/>
              <w:spacing w:after="0" w:line="240" w:lineRule="auto"/>
              <w:textAlignment w:val="baseline"/>
            </w:pPr>
            <w:r w:rsidRPr="00F74C06">
              <w:rPr>
                <w:rFonts w:eastAsia="Times New Roman"/>
                <w:b/>
                <w:bCs/>
                <w:color w:val="003399"/>
                <w:kern w:val="3"/>
                <w:lang w:eastAsia="en-GB"/>
              </w:rPr>
              <w:t>MARCOGAZ</w:t>
            </w:r>
          </w:p>
        </w:tc>
        <w:tc>
          <w:tcPr>
            <w:tcW w:w="2518"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vAlign w:val="center"/>
          </w:tcPr>
          <w:p w14:paraId="7A1BAFBB" w14:textId="77777777" w:rsidR="00F74C06" w:rsidRPr="00F74C06" w:rsidRDefault="00F74C06" w:rsidP="00F74C06">
            <w:pPr>
              <w:suppressAutoHyphens/>
              <w:autoSpaceDN w:val="0"/>
              <w:spacing w:after="0" w:line="240" w:lineRule="auto"/>
              <w:textAlignment w:val="baseline"/>
            </w:pPr>
            <w:r w:rsidRPr="00F74C06">
              <w:rPr>
                <w:rFonts w:eastAsia="Times New Roman"/>
                <w:color w:val="000099"/>
                <w:kern w:val="3"/>
                <w:lang w:eastAsia="en-GB"/>
              </w:rPr>
              <w:t xml:space="preserve">Jos Dehaeseleer </w:t>
            </w:r>
            <w:r w:rsidRPr="00F74C06">
              <w:rPr>
                <w:rFonts w:eastAsia="Times New Roman"/>
                <w:color w:val="000099"/>
                <w:kern w:val="3"/>
                <w:lang w:val="pt-BR" w:eastAsia="en-GB"/>
              </w:rPr>
              <w:t>–</w:t>
            </w:r>
            <w:r w:rsidRPr="00F74C06">
              <w:rPr>
                <w:rFonts w:eastAsia="Times New Roman"/>
                <w:color w:val="000099"/>
                <w:kern w:val="3"/>
                <w:lang w:eastAsia="en-GB"/>
              </w:rPr>
              <w:t xml:space="preserve"> Marcogaz</w:t>
            </w:r>
          </w:p>
        </w:tc>
        <w:tc>
          <w:tcPr>
            <w:tcW w:w="2970"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vAlign w:val="center"/>
          </w:tcPr>
          <w:p w14:paraId="13318E20" w14:textId="7266DEA4" w:rsidR="00F74C06" w:rsidRPr="00F74C06" w:rsidRDefault="00F74C06" w:rsidP="007605AA">
            <w:pPr>
              <w:suppressAutoHyphens/>
              <w:autoSpaceDN w:val="0"/>
              <w:spacing w:after="0" w:line="240" w:lineRule="auto"/>
              <w:textAlignment w:val="baseline"/>
            </w:pPr>
            <w:r w:rsidRPr="00F74C06">
              <w:rPr>
                <w:rFonts w:eastAsia="Times New Roman"/>
                <w:color w:val="000099"/>
                <w:kern w:val="3"/>
                <w:szCs w:val="22"/>
                <w:lang w:eastAsia="en-GB"/>
              </w:rPr>
              <w:t>Henk Koorenhof –</w:t>
            </w:r>
            <w:r w:rsidR="007605AA">
              <w:rPr>
                <w:rFonts w:eastAsia="Times New Roman"/>
                <w:color w:val="000099"/>
                <w:kern w:val="3"/>
                <w:szCs w:val="22"/>
                <w:lang w:eastAsia="en-GB"/>
              </w:rPr>
              <w:t xml:space="preserve"> G</w:t>
            </w:r>
            <w:r w:rsidR="007605AA" w:rsidRPr="00F74C06">
              <w:rPr>
                <w:rFonts w:eastAsia="Times New Roman"/>
                <w:color w:val="000099"/>
                <w:kern w:val="3"/>
                <w:szCs w:val="22"/>
                <w:lang w:eastAsia="en-GB"/>
              </w:rPr>
              <w:t xml:space="preserve">asunie </w:t>
            </w:r>
          </w:p>
        </w:tc>
      </w:tr>
      <w:tr w:rsidR="00EF0C24" w:rsidRPr="00F74C06" w14:paraId="24FA762F" w14:textId="77777777" w:rsidTr="00F74C06">
        <w:trPr>
          <w:trHeight w:hRule="exact" w:val="360"/>
        </w:trPr>
        <w:tc>
          <w:tcPr>
            <w:tcW w:w="2406" w:type="dxa"/>
            <w:vMerge/>
            <w:shd w:val="clear" w:color="auto" w:fill="auto"/>
            <w:tcMar>
              <w:top w:w="0" w:type="dxa"/>
              <w:left w:w="10" w:type="dxa"/>
              <w:bottom w:w="0" w:type="dxa"/>
              <w:right w:w="10" w:type="dxa"/>
            </w:tcMar>
          </w:tcPr>
          <w:p w14:paraId="2382D26E" w14:textId="77777777" w:rsidR="00F74C06" w:rsidRPr="00F74C06" w:rsidRDefault="00F74C06" w:rsidP="00F74C06">
            <w:pPr>
              <w:suppressAutoHyphens/>
              <w:autoSpaceDN w:val="0"/>
              <w:spacing w:after="0" w:line="240" w:lineRule="auto"/>
              <w:textAlignment w:val="baseline"/>
              <w:rPr>
                <w:rFonts w:eastAsia="Times New Roman"/>
                <w:lang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CBE2F2"/>
            <w:tcMar>
              <w:top w:w="15" w:type="dxa"/>
              <w:left w:w="101" w:type="dxa"/>
              <w:bottom w:w="0" w:type="dxa"/>
              <w:right w:w="101" w:type="dxa"/>
            </w:tcMar>
            <w:vAlign w:val="center"/>
          </w:tcPr>
          <w:p w14:paraId="6CCF83A0" w14:textId="77777777" w:rsidR="00F74C06" w:rsidRPr="00F74C06" w:rsidRDefault="00F74C06" w:rsidP="00F74C06">
            <w:pPr>
              <w:suppressAutoHyphens/>
              <w:autoSpaceDN w:val="0"/>
              <w:spacing w:after="0" w:line="240" w:lineRule="auto"/>
              <w:textAlignment w:val="baseline"/>
            </w:pPr>
            <w:proofErr w:type="spellStart"/>
            <w:r w:rsidRPr="00F74C06">
              <w:rPr>
                <w:rFonts w:eastAsia="Calibri" w:cs="Times New Roman"/>
                <w:b/>
                <w:bCs/>
                <w:color w:val="003399"/>
                <w:kern w:val="3"/>
                <w:lang w:val="fr-BE" w:eastAsia="en-GB"/>
              </w:rPr>
              <w:t>ebIX</w:t>
            </w:r>
            <w:proofErr w:type="spellEnd"/>
          </w:p>
        </w:tc>
        <w:tc>
          <w:tcPr>
            <w:tcW w:w="2518" w:type="dxa"/>
            <w:tcBorders>
              <w:top w:val="single" w:sz="8" w:space="0" w:color="FFFFFF"/>
              <w:left w:val="single" w:sz="8" w:space="0" w:color="FFFFFF"/>
              <w:bottom w:val="single" w:sz="8" w:space="0" w:color="FFFFFF"/>
              <w:right w:val="single" w:sz="8" w:space="0" w:color="FFFFFF"/>
            </w:tcBorders>
            <w:shd w:val="clear" w:color="auto" w:fill="CBE2F2"/>
            <w:tcMar>
              <w:top w:w="0" w:type="dxa"/>
              <w:left w:w="0" w:type="dxa"/>
              <w:bottom w:w="0" w:type="dxa"/>
              <w:right w:w="0" w:type="dxa"/>
            </w:tcMar>
            <w:vAlign w:val="center"/>
          </w:tcPr>
          <w:p w14:paraId="6FF97DC5" w14:textId="77777777" w:rsidR="00F74C06" w:rsidRPr="00F74C06" w:rsidRDefault="00F74C06" w:rsidP="00F74C06">
            <w:pPr>
              <w:suppressAutoHyphens/>
              <w:autoSpaceDN w:val="0"/>
              <w:spacing w:after="0" w:line="240" w:lineRule="auto"/>
              <w:textAlignment w:val="baseline"/>
            </w:pPr>
            <w:r w:rsidRPr="00F74C06">
              <w:rPr>
                <w:rFonts w:eastAsia="Times New Roman"/>
                <w:color w:val="000099"/>
                <w:kern w:val="3"/>
                <w:lang w:eastAsia="en-GB"/>
              </w:rPr>
              <w:t xml:space="preserve">Kees Sparreboom  </w:t>
            </w:r>
            <w:r w:rsidRPr="00F74C06">
              <w:rPr>
                <w:rFonts w:eastAsia="Times New Roman"/>
                <w:color w:val="000099"/>
                <w:kern w:val="3"/>
                <w:lang w:val="pt-BR" w:eastAsia="en-GB"/>
              </w:rPr>
              <w:t>–</w:t>
            </w:r>
            <w:r w:rsidRPr="00F74C06">
              <w:rPr>
                <w:rFonts w:eastAsia="Times New Roman"/>
                <w:color w:val="000099"/>
                <w:kern w:val="3"/>
                <w:lang w:eastAsia="en-GB"/>
              </w:rPr>
              <w:t xml:space="preserve"> TenneT</w:t>
            </w:r>
          </w:p>
        </w:tc>
        <w:tc>
          <w:tcPr>
            <w:tcW w:w="2970" w:type="dxa"/>
            <w:tcBorders>
              <w:top w:val="single" w:sz="8" w:space="0" w:color="FFFFFF"/>
              <w:left w:val="single" w:sz="8" w:space="0" w:color="FFFFFF"/>
              <w:bottom w:val="single" w:sz="8" w:space="0" w:color="FFFFFF"/>
              <w:right w:val="single" w:sz="8" w:space="0" w:color="FFFFFF"/>
            </w:tcBorders>
            <w:shd w:val="clear" w:color="auto" w:fill="CBE2F2"/>
            <w:tcMar>
              <w:top w:w="0" w:type="dxa"/>
              <w:left w:w="0" w:type="dxa"/>
              <w:bottom w:w="0" w:type="dxa"/>
              <w:right w:w="0" w:type="dxa"/>
            </w:tcMar>
            <w:vAlign w:val="center"/>
          </w:tcPr>
          <w:p w14:paraId="515AD717" w14:textId="77777777" w:rsidR="00F74C06" w:rsidRPr="00F74C06" w:rsidRDefault="00F74C06" w:rsidP="00F74C06">
            <w:pPr>
              <w:suppressAutoHyphens/>
              <w:autoSpaceDN w:val="0"/>
              <w:spacing w:after="0" w:line="240" w:lineRule="auto"/>
              <w:textAlignment w:val="baseline"/>
            </w:pPr>
            <w:proofErr w:type="spellStart"/>
            <w:r w:rsidRPr="00F74C06">
              <w:rPr>
                <w:rFonts w:eastAsia="Calibri" w:cs="Times New Roman"/>
                <w:color w:val="000099"/>
                <w:kern w:val="3"/>
                <w:lang w:val="fr-BE" w:eastAsia="en-GB"/>
              </w:rPr>
              <w:t>Vlatka</w:t>
            </w:r>
            <w:proofErr w:type="spellEnd"/>
            <w:r w:rsidRPr="00F74C06">
              <w:rPr>
                <w:rFonts w:eastAsia="Calibri" w:cs="Times New Roman"/>
                <w:color w:val="000099"/>
                <w:kern w:val="3"/>
                <w:lang w:val="fr-BE" w:eastAsia="en-GB"/>
              </w:rPr>
              <w:t xml:space="preserve"> Cordes - </w:t>
            </w:r>
            <w:proofErr w:type="spellStart"/>
            <w:r w:rsidRPr="00F74C06">
              <w:rPr>
                <w:rFonts w:eastAsia="Calibri" w:cs="Times New Roman"/>
                <w:color w:val="000099"/>
                <w:kern w:val="3"/>
                <w:lang w:val="fr-BE" w:eastAsia="en-GB"/>
              </w:rPr>
              <w:t>Westnetz</w:t>
            </w:r>
            <w:proofErr w:type="spellEnd"/>
          </w:p>
        </w:tc>
      </w:tr>
      <w:tr w:rsidR="00EF0C24" w:rsidRPr="00F74C06" w14:paraId="594FDB2B" w14:textId="77777777" w:rsidTr="00F74C06">
        <w:trPr>
          <w:trHeight w:hRule="exact" w:val="598"/>
        </w:trPr>
        <w:tc>
          <w:tcPr>
            <w:tcW w:w="2406" w:type="dxa"/>
            <w:vMerge/>
            <w:shd w:val="clear" w:color="auto" w:fill="auto"/>
            <w:tcMar>
              <w:top w:w="0" w:type="dxa"/>
              <w:left w:w="10" w:type="dxa"/>
              <w:bottom w:w="0" w:type="dxa"/>
              <w:right w:w="10" w:type="dxa"/>
            </w:tcMar>
          </w:tcPr>
          <w:p w14:paraId="3794A0F9" w14:textId="77777777" w:rsidR="00F74C06" w:rsidRPr="00F74C06" w:rsidRDefault="00F74C06" w:rsidP="00F74C06">
            <w:pPr>
              <w:suppressAutoHyphens/>
              <w:autoSpaceDN w:val="0"/>
              <w:spacing w:after="0" w:line="240" w:lineRule="auto"/>
              <w:textAlignment w:val="baseline"/>
              <w:rPr>
                <w:rFonts w:eastAsia="Times New Roman"/>
                <w:lang w:eastAsia="en-GB"/>
              </w:rPr>
            </w:pPr>
          </w:p>
        </w:tc>
        <w:tc>
          <w:tcPr>
            <w:tcW w:w="1716"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5BF03743" w14:textId="0772DE4C" w:rsidR="00F74C06" w:rsidRPr="00F74C06" w:rsidRDefault="00F74C06" w:rsidP="00A914ED">
            <w:pPr>
              <w:suppressAutoHyphens/>
              <w:autoSpaceDN w:val="0"/>
              <w:spacing w:after="0" w:line="240" w:lineRule="auto"/>
              <w:textAlignment w:val="baseline"/>
            </w:pPr>
            <w:r w:rsidRPr="00F74C06">
              <w:rPr>
                <w:rFonts w:eastAsia="Calibri" w:cs="Times New Roman"/>
                <w:b/>
                <w:bCs/>
                <w:color w:val="003399"/>
                <w:kern w:val="3"/>
                <w:szCs w:val="22"/>
                <w:lang w:val="fr-BE" w:eastAsia="en-GB"/>
              </w:rPr>
              <w:t xml:space="preserve">CEN/CENELEC </w:t>
            </w:r>
            <w:r w:rsidRPr="00F74C06">
              <w:rPr>
                <w:rFonts w:eastAsia="Times New Roman"/>
                <w:color w:val="000099"/>
                <w:kern w:val="3"/>
                <w:lang w:val="en-GB" w:eastAsia="en-GB"/>
              </w:rPr>
              <w:t>(*)</w:t>
            </w:r>
          </w:p>
        </w:tc>
        <w:tc>
          <w:tcPr>
            <w:tcW w:w="2518"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vAlign w:val="center"/>
          </w:tcPr>
          <w:p w14:paraId="2984F822" w14:textId="27FAA2BC" w:rsidR="00F74C06" w:rsidRPr="00F74C06" w:rsidRDefault="00F74C06" w:rsidP="00F74C06">
            <w:pPr>
              <w:suppressAutoHyphens/>
              <w:autoSpaceDN w:val="0"/>
              <w:spacing w:after="0" w:line="240" w:lineRule="auto"/>
              <w:textAlignment w:val="baseline"/>
            </w:pPr>
            <w:r>
              <w:rPr>
                <w:rFonts w:eastAsia="Calibri" w:cs="Times New Roman"/>
                <w:bCs/>
                <w:color w:val="003399"/>
                <w:kern w:val="3"/>
                <w:szCs w:val="22"/>
                <w:lang w:val="fr-BE" w:eastAsia="en-GB"/>
              </w:rPr>
              <w:t>Eric Lambert</w:t>
            </w:r>
            <w:r w:rsidRPr="00F74C06">
              <w:rPr>
                <w:rFonts w:eastAsia="Calibri" w:cs="Times New Roman"/>
                <w:bCs/>
                <w:color w:val="003399"/>
                <w:kern w:val="3"/>
                <w:lang w:val="fr-BE" w:eastAsia="en-GB"/>
              </w:rPr>
              <w:t xml:space="preserve">  </w:t>
            </w:r>
            <w:r w:rsidRPr="00F74C06">
              <w:rPr>
                <w:rFonts w:eastAsia="Times New Roman"/>
                <w:color w:val="000099"/>
                <w:kern w:val="3"/>
                <w:lang w:val="en-GB" w:eastAsia="en-GB"/>
              </w:rPr>
              <w:t>(*)</w:t>
            </w:r>
          </w:p>
        </w:tc>
        <w:tc>
          <w:tcPr>
            <w:tcW w:w="2970" w:type="dxa"/>
            <w:tcBorders>
              <w:top w:val="single" w:sz="8" w:space="0" w:color="FFFFFF"/>
              <w:left w:val="single" w:sz="8" w:space="0" w:color="FFFFFF"/>
              <w:bottom w:val="single" w:sz="8" w:space="0" w:color="FFFFFF"/>
              <w:right w:val="single" w:sz="8" w:space="0" w:color="FFFFFF"/>
            </w:tcBorders>
            <w:shd w:val="clear" w:color="auto" w:fill="E7F1F9"/>
            <w:tcMar>
              <w:top w:w="0" w:type="dxa"/>
              <w:left w:w="0" w:type="dxa"/>
              <w:bottom w:w="0" w:type="dxa"/>
              <w:right w:w="0" w:type="dxa"/>
            </w:tcMar>
            <w:vAlign w:val="center"/>
          </w:tcPr>
          <w:p w14:paraId="62D67B94" w14:textId="6EC47B05" w:rsidR="00F74C06" w:rsidRPr="00F74C06" w:rsidRDefault="00F74C06" w:rsidP="00F74C06">
            <w:pPr>
              <w:suppressAutoHyphens/>
              <w:autoSpaceDN w:val="0"/>
              <w:spacing w:after="0" w:line="240" w:lineRule="auto"/>
              <w:textAlignment w:val="baseline"/>
            </w:pPr>
            <w:r>
              <w:rPr>
                <w:rFonts w:eastAsia="Calibri" w:cs="Times New Roman"/>
                <w:bCs/>
                <w:color w:val="003399"/>
                <w:kern w:val="3"/>
                <w:szCs w:val="22"/>
                <w:lang w:val="fr-BE" w:eastAsia="en-GB"/>
              </w:rPr>
              <w:t xml:space="preserve">John </w:t>
            </w:r>
            <w:proofErr w:type="spellStart"/>
            <w:r>
              <w:rPr>
                <w:rFonts w:eastAsia="Calibri" w:cs="Times New Roman"/>
                <w:bCs/>
                <w:color w:val="003399"/>
                <w:kern w:val="3"/>
                <w:szCs w:val="22"/>
                <w:lang w:val="fr-BE" w:eastAsia="en-GB"/>
              </w:rPr>
              <w:t>Cowburn</w:t>
            </w:r>
            <w:proofErr w:type="spellEnd"/>
            <w:r>
              <w:t xml:space="preserve"> </w:t>
            </w:r>
            <w:r w:rsidRPr="00F74C06">
              <w:rPr>
                <w:rFonts w:eastAsia="Times New Roman"/>
                <w:color w:val="000099"/>
                <w:kern w:val="3"/>
                <w:lang w:val="en-GB" w:eastAsia="en-GB"/>
              </w:rPr>
              <w:t>(*)</w:t>
            </w:r>
          </w:p>
        </w:tc>
      </w:tr>
    </w:tbl>
    <w:p w14:paraId="6797EADE" w14:textId="77777777" w:rsidR="00F74C06" w:rsidRPr="00F74C06" w:rsidRDefault="00F74C06" w:rsidP="00F74C06">
      <w:pPr>
        <w:suppressAutoHyphens/>
        <w:autoSpaceDN w:val="0"/>
        <w:textAlignment w:val="baseline"/>
        <w:rPr>
          <w:rFonts w:ascii="Times New Roman" w:hAnsi="Times New Roman" w:cs="Times New Roman"/>
          <w:color w:val="000000"/>
          <w:sz w:val="24"/>
          <w:szCs w:val="24"/>
        </w:rPr>
      </w:pPr>
    </w:p>
    <w:p w14:paraId="1A15A375" w14:textId="77777777" w:rsidR="00F74C06" w:rsidRDefault="00F74C06" w:rsidP="00F74C06">
      <w:pPr>
        <w:suppressAutoHyphens/>
        <w:autoSpaceDN w:val="0"/>
        <w:textAlignment w:val="baseline"/>
        <w:rPr>
          <w:rFonts w:ascii="Times New Roman" w:hAnsi="Times New Roman" w:cs="Times New Roman"/>
          <w:color w:val="000000"/>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1"/>
      </w:tblGrid>
      <w:tr w:rsidR="008723E5" w:rsidRPr="008723E5" w14:paraId="74F64F51" w14:textId="77777777" w:rsidTr="00EF0C24">
        <w:trPr>
          <w:trHeight w:val="2729"/>
          <w:jc w:val="center"/>
        </w:trPr>
        <w:tc>
          <w:tcPr>
            <w:tcW w:w="4361" w:type="dxa"/>
          </w:tcPr>
          <w:tbl>
            <w:tblPr>
              <w:tblW w:w="5745" w:type="dxa"/>
              <w:tblCellMar>
                <w:left w:w="10" w:type="dxa"/>
                <w:right w:w="10" w:type="dxa"/>
              </w:tblCellMar>
              <w:tblLook w:val="0000" w:firstRow="0" w:lastRow="0" w:firstColumn="0" w:lastColumn="0" w:noHBand="0" w:noVBand="0"/>
            </w:tblPr>
            <w:tblGrid>
              <w:gridCol w:w="2202"/>
              <w:gridCol w:w="3543"/>
            </w:tblGrid>
            <w:tr w:rsidR="008723E5" w:rsidRPr="00F74C06" w14:paraId="699FF709" w14:textId="77777777" w:rsidTr="00251BC5">
              <w:trPr>
                <w:cantSplit/>
                <w:trHeight w:hRule="exact" w:val="397"/>
              </w:trPr>
              <w:tc>
                <w:tcPr>
                  <w:tcW w:w="2202" w:type="dxa"/>
                  <w:tcBorders>
                    <w:top w:val="single" w:sz="8" w:space="0" w:color="FFFFFF"/>
                    <w:left w:val="single" w:sz="8" w:space="0" w:color="FFFFFF"/>
                    <w:bottom w:val="single" w:sz="24" w:space="0" w:color="FFFFFF"/>
                    <w:right w:val="single" w:sz="8" w:space="0" w:color="FFFFFF"/>
                  </w:tcBorders>
                  <w:shd w:val="clear" w:color="auto" w:fill="03A9DD"/>
                  <w:tcMar>
                    <w:top w:w="15" w:type="dxa"/>
                    <w:left w:w="101" w:type="dxa"/>
                    <w:bottom w:w="0" w:type="dxa"/>
                    <w:right w:w="101" w:type="dxa"/>
                  </w:tcMar>
                </w:tcPr>
                <w:p w14:paraId="0A56D478" w14:textId="77777777" w:rsidR="008723E5" w:rsidRPr="00F74C06" w:rsidRDefault="008723E5" w:rsidP="003D42CC">
                  <w:pPr>
                    <w:suppressAutoHyphens/>
                    <w:autoSpaceDN w:val="0"/>
                    <w:spacing w:after="0"/>
                    <w:textAlignment w:val="baseline"/>
                    <w:rPr>
                      <w:rFonts w:eastAsia="Times New Roman"/>
                      <w:b/>
                      <w:bCs/>
                      <w:color w:val="FFFFFF"/>
                      <w:kern w:val="3"/>
                      <w:sz w:val="24"/>
                      <w:szCs w:val="24"/>
                      <w:lang w:eastAsia="en-GB"/>
                    </w:rPr>
                  </w:pPr>
                  <w:r w:rsidRPr="00F74C06">
                    <w:rPr>
                      <w:rFonts w:eastAsia="Times New Roman"/>
                      <w:b/>
                      <w:bCs/>
                      <w:color w:val="FFFFFF"/>
                      <w:kern w:val="3"/>
                      <w:sz w:val="24"/>
                      <w:szCs w:val="24"/>
                      <w:lang w:eastAsia="en-GB"/>
                    </w:rPr>
                    <w:t>Association</w:t>
                  </w:r>
                </w:p>
              </w:tc>
              <w:tc>
                <w:tcPr>
                  <w:tcW w:w="3543" w:type="dxa"/>
                  <w:tcBorders>
                    <w:top w:val="single" w:sz="8" w:space="0" w:color="FFFFFF"/>
                    <w:left w:val="single" w:sz="8" w:space="0" w:color="FFFFFF"/>
                    <w:bottom w:val="single" w:sz="24" w:space="0" w:color="FFFFFF"/>
                    <w:right w:val="single" w:sz="8" w:space="0" w:color="FFFFFF"/>
                  </w:tcBorders>
                  <w:shd w:val="clear" w:color="auto" w:fill="03A9DD"/>
                  <w:tcMar>
                    <w:top w:w="15" w:type="dxa"/>
                    <w:left w:w="101" w:type="dxa"/>
                    <w:bottom w:w="0" w:type="dxa"/>
                    <w:right w:w="101" w:type="dxa"/>
                  </w:tcMar>
                  <w:vAlign w:val="center"/>
                </w:tcPr>
                <w:p w14:paraId="4021BEC2" w14:textId="77777777" w:rsidR="008723E5" w:rsidRPr="00F74C06" w:rsidRDefault="008723E5" w:rsidP="003D42CC">
                  <w:pPr>
                    <w:suppressAutoHyphens/>
                    <w:autoSpaceDN w:val="0"/>
                    <w:spacing w:after="0"/>
                    <w:textAlignment w:val="baseline"/>
                  </w:pPr>
                  <w:r w:rsidRPr="00F74C06">
                    <w:rPr>
                      <w:rFonts w:eastAsia="Times New Roman"/>
                      <w:b/>
                      <w:bCs/>
                      <w:color w:val="FFFFFF"/>
                      <w:kern w:val="3"/>
                      <w:sz w:val="24"/>
                      <w:szCs w:val="24"/>
                      <w:lang w:eastAsia="en-GB"/>
                    </w:rPr>
                    <w:t>Editorial Team (ET) composition</w:t>
                  </w:r>
                </w:p>
              </w:tc>
            </w:tr>
            <w:tr w:rsidR="008723E5" w:rsidRPr="00F74C06" w14:paraId="3026FBF5" w14:textId="77777777" w:rsidTr="00251BC5">
              <w:trPr>
                <w:cantSplit/>
                <w:trHeight w:hRule="exact" w:val="397"/>
              </w:trPr>
              <w:tc>
                <w:tcPr>
                  <w:tcW w:w="2202" w:type="dxa"/>
                  <w:tcBorders>
                    <w:top w:val="single" w:sz="24"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vAlign w:val="center"/>
                </w:tcPr>
                <w:p w14:paraId="38D4F6F3" w14:textId="77777777" w:rsidR="008723E5" w:rsidRPr="00F74C06" w:rsidRDefault="008723E5" w:rsidP="003D42CC">
                  <w:pPr>
                    <w:suppressAutoHyphens/>
                    <w:autoSpaceDN w:val="0"/>
                    <w:spacing w:after="0"/>
                    <w:textAlignment w:val="baseline"/>
                    <w:rPr>
                      <w:rFonts w:eastAsia="Times New Roman"/>
                      <w:b/>
                      <w:bCs/>
                      <w:color w:val="FFFFFF"/>
                      <w:kern w:val="3"/>
                      <w:sz w:val="24"/>
                      <w:szCs w:val="24"/>
                      <w:lang w:eastAsia="en-GB"/>
                    </w:rPr>
                  </w:pPr>
                  <w:r w:rsidRPr="00F74C06">
                    <w:rPr>
                      <w:rFonts w:eastAsia="Times New Roman"/>
                      <w:b/>
                      <w:bCs/>
                      <w:color w:val="FFFFFF"/>
                      <w:kern w:val="3"/>
                      <w:sz w:val="24"/>
                      <w:szCs w:val="24"/>
                      <w:lang w:eastAsia="en-GB"/>
                    </w:rPr>
                    <w:t>CEER</w:t>
                  </w:r>
                </w:p>
              </w:tc>
              <w:tc>
                <w:tcPr>
                  <w:tcW w:w="3543" w:type="dxa"/>
                  <w:tcBorders>
                    <w:top w:val="single" w:sz="24" w:space="0" w:color="FFFFFF"/>
                    <w:left w:val="single" w:sz="8" w:space="0" w:color="FFFFFF"/>
                    <w:bottom w:val="single" w:sz="8" w:space="0" w:color="FFFFFF"/>
                    <w:right w:val="single" w:sz="8" w:space="0" w:color="FFFFFF"/>
                  </w:tcBorders>
                  <w:shd w:val="clear" w:color="auto" w:fill="CBE2F2"/>
                  <w:tcMar>
                    <w:top w:w="15" w:type="dxa"/>
                    <w:left w:w="101" w:type="dxa"/>
                    <w:bottom w:w="0" w:type="dxa"/>
                    <w:right w:w="101" w:type="dxa"/>
                  </w:tcMar>
                  <w:vAlign w:val="center"/>
                </w:tcPr>
                <w:p w14:paraId="5D12AA95" w14:textId="77777777" w:rsidR="008723E5" w:rsidRPr="00F74C06" w:rsidRDefault="008723E5" w:rsidP="003D42CC">
                  <w:pPr>
                    <w:suppressAutoHyphens/>
                    <w:autoSpaceDN w:val="0"/>
                    <w:spacing w:after="0" w:line="240" w:lineRule="auto"/>
                    <w:textAlignment w:val="baseline"/>
                  </w:pPr>
                  <w:r>
                    <w:rPr>
                      <w:rFonts w:eastAsia="Times New Roman"/>
                      <w:bCs/>
                      <w:color w:val="003399"/>
                      <w:kern w:val="3"/>
                      <w:sz w:val="24"/>
                      <w:szCs w:val="24"/>
                      <w:lang w:eastAsia="en-GB"/>
                    </w:rPr>
                    <w:t>Christelle Heng</w:t>
                  </w:r>
                  <w:r w:rsidRPr="00F74C06">
                    <w:rPr>
                      <w:rFonts w:eastAsia="Times New Roman"/>
                      <w:bCs/>
                      <w:color w:val="003399"/>
                      <w:kern w:val="3"/>
                      <w:sz w:val="24"/>
                      <w:szCs w:val="24"/>
                      <w:lang w:eastAsia="en-GB"/>
                    </w:rPr>
                    <w:t xml:space="preserve"> </w:t>
                  </w:r>
                </w:p>
              </w:tc>
            </w:tr>
            <w:tr w:rsidR="008723E5" w:rsidRPr="00F74C06" w14:paraId="2B83CBE3" w14:textId="77777777" w:rsidTr="00251BC5">
              <w:trPr>
                <w:cantSplit/>
                <w:trHeight w:hRule="exact" w:val="397"/>
              </w:trPr>
              <w:tc>
                <w:tcPr>
                  <w:tcW w:w="2202" w:type="dxa"/>
                  <w:tcBorders>
                    <w:top w:val="single" w:sz="8"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vAlign w:val="center"/>
                </w:tcPr>
                <w:p w14:paraId="629CBA12" w14:textId="77777777" w:rsidR="008723E5" w:rsidRPr="00F74C06" w:rsidRDefault="008723E5" w:rsidP="003D42CC">
                  <w:pPr>
                    <w:suppressAutoHyphens/>
                    <w:autoSpaceDN w:val="0"/>
                    <w:spacing w:after="0"/>
                    <w:textAlignment w:val="baseline"/>
                    <w:rPr>
                      <w:rFonts w:eastAsia="Times New Roman"/>
                      <w:b/>
                      <w:bCs/>
                      <w:color w:val="FFFFFF"/>
                      <w:kern w:val="3"/>
                      <w:sz w:val="24"/>
                      <w:szCs w:val="24"/>
                      <w:lang w:eastAsia="en-GB"/>
                    </w:rPr>
                  </w:pPr>
                  <w:r w:rsidRPr="00F74C06">
                    <w:rPr>
                      <w:rFonts w:eastAsia="Times New Roman"/>
                      <w:b/>
                      <w:bCs/>
                      <w:color w:val="FFFFFF"/>
                      <w:kern w:val="3"/>
                      <w:sz w:val="24"/>
                      <w:szCs w:val="24"/>
                      <w:lang w:eastAsia="en-GB"/>
                    </w:rPr>
                    <w:t xml:space="preserve">Eurelectric </w:t>
                  </w:r>
                </w:p>
              </w:tc>
              <w:tc>
                <w:tcPr>
                  <w:tcW w:w="3543"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319B3D1A" w14:textId="77777777" w:rsidR="008723E5" w:rsidRPr="00F74C06" w:rsidRDefault="008723E5" w:rsidP="003D42CC">
                  <w:pPr>
                    <w:suppressAutoHyphens/>
                    <w:autoSpaceDN w:val="0"/>
                    <w:spacing w:after="0" w:line="240" w:lineRule="auto"/>
                    <w:textAlignment w:val="baseline"/>
                    <w:rPr>
                      <w:rFonts w:eastAsia="Times New Roman"/>
                      <w:bCs/>
                      <w:color w:val="003399"/>
                      <w:kern w:val="3"/>
                      <w:sz w:val="24"/>
                      <w:szCs w:val="24"/>
                      <w:lang w:eastAsia="en-GB"/>
                    </w:rPr>
                  </w:pPr>
                  <w:r w:rsidRPr="00F74C06">
                    <w:rPr>
                      <w:rFonts w:eastAsia="Times New Roman"/>
                      <w:bCs/>
                      <w:color w:val="003399"/>
                      <w:kern w:val="3"/>
                      <w:sz w:val="24"/>
                      <w:szCs w:val="24"/>
                      <w:lang w:eastAsia="en-GB"/>
                    </w:rPr>
                    <w:t xml:space="preserve">Paul de Wit </w:t>
                  </w:r>
                </w:p>
              </w:tc>
            </w:tr>
            <w:tr w:rsidR="008723E5" w:rsidRPr="00F74C06" w14:paraId="3B6A1054" w14:textId="77777777" w:rsidTr="00251BC5">
              <w:trPr>
                <w:cantSplit/>
                <w:trHeight w:hRule="exact" w:val="397"/>
              </w:trPr>
              <w:tc>
                <w:tcPr>
                  <w:tcW w:w="2202" w:type="dxa"/>
                  <w:tcBorders>
                    <w:top w:val="single" w:sz="8"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vAlign w:val="center"/>
                </w:tcPr>
                <w:p w14:paraId="7A319B34" w14:textId="77777777" w:rsidR="008723E5" w:rsidRPr="00F74C06" w:rsidRDefault="008723E5" w:rsidP="003D42CC">
                  <w:pPr>
                    <w:suppressAutoHyphens/>
                    <w:autoSpaceDN w:val="0"/>
                    <w:spacing w:after="0"/>
                    <w:textAlignment w:val="baseline"/>
                    <w:rPr>
                      <w:rFonts w:eastAsia="Times New Roman"/>
                      <w:b/>
                      <w:bCs/>
                      <w:color w:val="FFFFFF"/>
                      <w:kern w:val="3"/>
                      <w:sz w:val="24"/>
                      <w:szCs w:val="24"/>
                      <w:lang w:eastAsia="en-GB"/>
                    </w:rPr>
                  </w:pPr>
                  <w:r w:rsidRPr="00F74C06">
                    <w:rPr>
                      <w:rFonts w:eastAsia="Times New Roman"/>
                      <w:b/>
                      <w:bCs/>
                      <w:color w:val="FFFFFF"/>
                      <w:kern w:val="3"/>
                      <w:sz w:val="24"/>
                      <w:szCs w:val="24"/>
                      <w:lang w:eastAsia="en-GB"/>
                    </w:rPr>
                    <w:t xml:space="preserve">ENTSO-E </w:t>
                  </w:r>
                </w:p>
              </w:tc>
              <w:tc>
                <w:tcPr>
                  <w:tcW w:w="3543" w:type="dxa"/>
                  <w:tcBorders>
                    <w:top w:val="single" w:sz="8" w:space="0" w:color="FFFFFF"/>
                    <w:left w:val="single" w:sz="8" w:space="0" w:color="FFFFFF"/>
                    <w:bottom w:val="single" w:sz="8" w:space="0" w:color="FFFFFF"/>
                    <w:right w:val="single" w:sz="8" w:space="0" w:color="FFFFFF"/>
                  </w:tcBorders>
                  <w:shd w:val="clear" w:color="auto" w:fill="CBE2F2"/>
                  <w:tcMar>
                    <w:top w:w="15" w:type="dxa"/>
                    <w:left w:w="101" w:type="dxa"/>
                    <w:bottom w:w="0" w:type="dxa"/>
                    <w:right w:w="101" w:type="dxa"/>
                  </w:tcMar>
                  <w:vAlign w:val="center"/>
                </w:tcPr>
                <w:p w14:paraId="5C1C0EA1" w14:textId="77777777" w:rsidR="008723E5" w:rsidRPr="00F74C06" w:rsidRDefault="008723E5" w:rsidP="003D42CC">
                  <w:pPr>
                    <w:suppressAutoHyphens/>
                    <w:autoSpaceDN w:val="0"/>
                    <w:spacing w:after="0" w:line="240" w:lineRule="auto"/>
                    <w:textAlignment w:val="baseline"/>
                  </w:pPr>
                  <w:r w:rsidRPr="00F74C06">
                    <w:rPr>
                      <w:rFonts w:eastAsia="Times New Roman"/>
                      <w:bCs/>
                      <w:color w:val="003399"/>
                      <w:kern w:val="3"/>
                      <w:sz w:val="24"/>
                      <w:szCs w:val="24"/>
                      <w:lang w:val="en-GB" w:eastAsia="en-GB"/>
                    </w:rPr>
                    <w:t xml:space="preserve">Olivier </w:t>
                  </w:r>
                  <w:proofErr w:type="spellStart"/>
                  <w:r w:rsidRPr="00F74C06">
                    <w:rPr>
                      <w:rFonts w:eastAsia="Times New Roman"/>
                      <w:bCs/>
                      <w:color w:val="003399"/>
                      <w:kern w:val="3"/>
                      <w:sz w:val="24"/>
                      <w:szCs w:val="24"/>
                      <w:lang w:val="en-GB" w:eastAsia="en-GB"/>
                    </w:rPr>
                    <w:t>Aine</w:t>
                  </w:r>
                  <w:proofErr w:type="spellEnd"/>
                  <w:r w:rsidRPr="00F74C06">
                    <w:rPr>
                      <w:rFonts w:eastAsia="Times New Roman"/>
                      <w:bCs/>
                      <w:color w:val="003399"/>
                      <w:kern w:val="3"/>
                      <w:sz w:val="24"/>
                      <w:szCs w:val="24"/>
                      <w:lang w:val="en-GB" w:eastAsia="en-GB"/>
                    </w:rPr>
                    <w:t xml:space="preserve"> </w:t>
                  </w:r>
                </w:p>
              </w:tc>
            </w:tr>
            <w:tr w:rsidR="008723E5" w:rsidRPr="00F74C06" w14:paraId="413D2D51" w14:textId="77777777" w:rsidTr="00251BC5">
              <w:trPr>
                <w:cantSplit/>
                <w:trHeight w:hRule="exact" w:val="397"/>
              </w:trPr>
              <w:tc>
                <w:tcPr>
                  <w:tcW w:w="2202" w:type="dxa"/>
                  <w:tcBorders>
                    <w:top w:val="single" w:sz="8"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vAlign w:val="center"/>
                </w:tcPr>
                <w:p w14:paraId="6F01382F" w14:textId="77777777" w:rsidR="008723E5" w:rsidRPr="00F74C06" w:rsidRDefault="008723E5" w:rsidP="003D42CC">
                  <w:pPr>
                    <w:suppressAutoHyphens/>
                    <w:autoSpaceDN w:val="0"/>
                    <w:spacing w:after="0"/>
                    <w:textAlignment w:val="baseline"/>
                    <w:rPr>
                      <w:rFonts w:eastAsia="Times New Roman"/>
                      <w:b/>
                      <w:bCs/>
                      <w:color w:val="FFFFFF"/>
                      <w:kern w:val="3"/>
                      <w:sz w:val="24"/>
                      <w:szCs w:val="24"/>
                      <w:lang w:eastAsia="en-GB"/>
                    </w:rPr>
                  </w:pPr>
                  <w:r w:rsidRPr="00F74C06">
                    <w:rPr>
                      <w:rFonts w:eastAsia="Times New Roman"/>
                      <w:b/>
                      <w:bCs/>
                      <w:color w:val="FFFFFF"/>
                      <w:kern w:val="3"/>
                      <w:sz w:val="24"/>
                      <w:szCs w:val="24"/>
                      <w:lang w:eastAsia="en-GB"/>
                    </w:rPr>
                    <w:t>ESMIG</w:t>
                  </w:r>
                </w:p>
              </w:tc>
              <w:tc>
                <w:tcPr>
                  <w:tcW w:w="3543"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1CD562D4" w14:textId="77777777" w:rsidR="008723E5" w:rsidRPr="00F74C06" w:rsidRDefault="008723E5" w:rsidP="003D42CC">
                  <w:pPr>
                    <w:suppressAutoHyphens/>
                    <w:autoSpaceDN w:val="0"/>
                    <w:spacing w:after="0" w:line="240" w:lineRule="auto"/>
                    <w:textAlignment w:val="baseline"/>
                    <w:rPr>
                      <w:rFonts w:eastAsia="Times New Roman"/>
                      <w:bCs/>
                      <w:color w:val="003399"/>
                      <w:kern w:val="3"/>
                      <w:sz w:val="24"/>
                      <w:szCs w:val="24"/>
                      <w:lang w:eastAsia="en-GB"/>
                    </w:rPr>
                  </w:pPr>
                  <w:r w:rsidRPr="00F74C06">
                    <w:rPr>
                      <w:rFonts w:eastAsia="Times New Roman"/>
                      <w:bCs/>
                      <w:color w:val="003399"/>
                      <w:kern w:val="3"/>
                      <w:sz w:val="24"/>
                      <w:szCs w:val="24"/>
                      <w:lang w:eastAsia="en-GB"/>
                    </w:rPr>
                    <w:t>Miguel Gaspar</w:t>
                  </w:r>
                </w:p>
              </w:tc>
            </w:tr>
            <w:tr w:rsidR="008723E5" w:rsidRPr="00F74C06" w14:paraId="156330A8" w14:textId="77777777" w:rsidTr="00251BC5">
              <w:trPr>
                <w:cantSplit/>
                <w:trHeight w:hRule="exact" w:val="397"/>
              </w:trPr>
              <w:tc>
                <w:tcPr>
                  <w:tcW w:w="2202" w:type="dxa"/>
                  <w:tcBorders>
                    <w:top w:val="single" w:sz="8"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vAlign w:val="center"/>
                </w:tcPr>
                <w:p w14:paraId="63004F25" w14:textId="77777777" w:rsidR="008723E5" w:rsidRPr="00F74C06" w:rsidRDefault="008723E5" w:rsidP="003D42CC">
                  <w:pPr>
                    <w:suppressAutoHyphens/>
                    <w:autoSpaceDN w:val="0"/>
                    <w:spacing w:after="0"/>
                    <w:textAlignment w:val="baseline"/>
                  </w:pPr>
                  <w:proofErr w:type="spellStart"/>
                  <w:r w:rsidRPr="00F74C06">
                    <w:rPr>
                      <w:rFonts w:eastAsia="Times New Roman"/>
                      <w:b/>
                      <w:bCs/>
                      <w:color w:val="FFFFFF"/>
                      <w:kern w:val="3"/>
                      <w:sz w:val="24"/>
                      <w:szCs w:val="24"/>
                      <w:lang w:val="en-GB" w:eastAsia="en-GB"/>
                    </w:rPr>
                    <w:t>ebIX</w:t>
                  </w:r>
                  <w:proofErr w:type="spellEnd"/>
                </w:p>
              </w:tc>
              <w:tc>
                <w:tcPr>
                  <w:tcW w:w="3543" w:type="dxa"/>
                  <w:tcBorders>
                    <w:top w:val="single" w:sz="8" w:space="0" w:color="FFFFFF"/>
                    <w:left w:val="single" w:sz="8" w:space="0" w:color="FFFFFF"/>
                    <w:bottom w:val="single" w:sz="8" w:space="0" w:color="FFFFFF"/>
                    <w:right w:val="single" w:sz="8" w:space="0" w:color="FFFFFF"/>
                  </w:tcBorders>
                  <w:shd w:val="clear" w:color="auto" w:fill="CBE2F2"/>
                  <w:tcMar>
                    <w:top w:w="15" w:type="dxa"/>
                    <w:left w:w="101" w:type="dxa"/>
                    <w:bottom w:w="0" w:type="dxa"/>
                    <w:right w:w="101" w:type="dxa"/>
                  </w:tcMar>
                  <w:vAlign w:val="center"/>
                </w:tcPr>
                <w:p w14:paraId="1DE92CAA" w14:textId="77777777" w:rsidR="008723E5" w:rsidRPr="00F74C06" w:rsidRDefault="008723E5" w:rsidP="003D42CC">
                  <w:pPr>
                    <w:suppressAutoHyphens/>
                    <w:autoSpaceDN w:val="0"/>
                    <w:spacing w:after="0" w:line="240" w:lineRule="auto"/>
                    <w:textAlignment w:val="baseline"/>
                    <w:rPr>
                      <w:rFonts w:eastAsia="Times New Roman"/>
                      <w:bCs/>
                      <w:color w:val="003399"/>
                      <w:kern w:val="3"/>
                      <w:sz w:val="24"/>
                      <w:szCs w:val="24"/>
                      <w:lang w:eastAsia="en-GB"/>
                    </w:rPr>
                  </w:pPr>
                  <w:r w:rsidRPr="00F74C06">
                    <w:rPr>
                      <w:rFonts w:eastAsia="Times New Roman"/>
                      <w:bCs/>
                      <w:color w:val="003399"/>
                      <w:kern w:val="3"/>
                      <w:sz w:val="24"/>
                      <w:szCs w:val="24"/>
                      <w:lang w:eastAsia="en-GB"/>
                    </w:rPr>
                    <w:t>Kees Sparreboom</w:t>
                  </w:r>
                </w:p>
              </w:tc>
            </w:tr>
            <w:tr w:rsidR="00251BC5" w:rsidRPr="00F2268F" w14:paraId="1DE30A6B" w14:textId="77777777" w:rsidTr="00251BC5">
              <w:trPr>
                <w:cantSplit/>
                <w:trHeight w:hRule="exact" w:val="397"/>
              </w:trPr>
              <w:tc>
                <w:tcPr>
                  <w:tcW w:w="2202" w:type="dxa"/>
                  <w:tcBorders>
                    <w:top w:val="single" w:sz="8" w:space="0" w:color="FFFFFF"/>
                    <w:left w:val="single" w:sz="8" w:space="0" w:color="FFFFFF"/>
                    <w:bottom w:val="single" w:sz="24" w:space="0" w:color="FFFFFF"/>
                    <w:right w:val="single" w:sz="8" w:space="0" w:color="FFFFFF"/>
                  </w:tcBorders>
                  <w:shd w:val="clear" w:color="auto" w:fill="03A9DD"/>
                  <w:tcMar>
                    <w:top w:w="15" w:type="dxa"/>
                    <w:left w:w="101" w:type="dxa"/>
                    <w:bottom w:w="0" w:type="dxa"/>
                    <w:right w:w="101" w:type="dxa"/>
                  </w:tcMar>
                </w:tcPr>
                <w:p w14:paraId="772D4D50" w14:textId="070CD7E0" w:rsidR="00251BC5" w:rsidRPr="00F74C06" w:rsidRDefault="00251BC5" w:rsidP="003D42CC">
                  <w:pPr>
                    <w:suppressAutoHyphens/>
                    <w:autoSpaceDN w:val="0"/>
                    <w:spacing w:after="0"/>
                    <w:textAlignment w:val="baseline"/>
                    <w:rPr>
                      <w:rFonts w:eastAsia="Times New Roman"/>
                      <w:b/>
                      <w:bCs/>
                      <w:color w:val="FFFFFF"/>
                      <w:kern w:val="3"/>
                      <w:sz w:val="24"/>
                      <w:szCs w:val="24"/>
                      <w:lang w:eastAsia="en-GB"/>
                    </w:rPr>
                  </w:pPr>
                </w:p>
              </w:tc>
              <w:tc>
                <w:tcPr>
                  <w:tcW w:w="3543" w:type="dxa"/>
                  <w:tcBorders>
                    <w:top w:val="single" w:sz="8" w:space="0" w:color="FFFFFF"/>
                    <w:left w:val="single" w:sz="8" w:space="0" w:color="FFFFFF"/>
                    <w:bottom w:val="single" w:sz="24" w:space="0" w:color="FFFFFF"/>
                    <w:right w:val="single" w:sz="8" w:space="0" w:color="FFFFFF"/>
                  </w:tcBorders>
                  <w:shd w:val="clear" w:color="auto" w:fill="03A9DD"/>
                  <w:tcMar>
                    <w:top w:w="15" w:type="dxa"/>
                    <w:left w:w="101" w:type="dxa"/>
                    <w:bottom w:w="0" w:type="dxa"/>
                    <w:right w:w="101" w:type="dxa"/>
                  </w:tcMar>
                  <w:vAlign w:val="center"/>
                </w:tcPr>
                <w:p w14:paraId="1FFBE73E" w14:textId="1BC60113" w:rsidR="00251BC5" w:rsidRPr="00251BC5" w:rsidRDefault="00251BC5" w:rsidP="00251BC5">
                  <w:pPr>
                    <w:suppressAutoHyphens/>
                    <w:autoSpaceDN w:val="0"/>
                    <w:spacing w:after="0"/>
                    <w:textAlignment w:val="baseline"/>
                    <w:rPr>
                      <w:lang w:val="en-GB"/>
                    </w:rPr>
                  </w:pPr>
                  <w:r w:rsidRPr="00251BC5">
                    <w:rPr>
                      <w:rFonts w:eastAsia="Times New Roman"/>
                      <w:b/>
                      <w:bCs/>
                      <w:color w:val="FFFFFF"/>
                      <w:kern w:val="3"/>
                      <w:sz w:val="24"/>
                      <w:szCs w:val="24"/>
                      <w:lang w:val="en-GB" w:eastAsia="en-GB"/>
                    </w:rPr>
                    <w:t>Key  contributors assisting the ET</w:t>
                  </w:r>
                </w:p>
              </w:tc>
            </w:tr>
            <w:tr w:rsidR="00251BC5" w:rsidRPr="00F74C06" w14:paraId="7B978308" w14:textId="77777777" w:rsidTr="00251BC5">
              <w:trPr>
                <w:cantSplit/>
                <w:trHeight w:hRule="exact" w:val="397"/>
              </w:trPr>
              <w:tc>
                <w:tcPr>
                  <w:tcW w:w="2202" w:type="dxa"/>
                  <w:tcBorders>
                    <w:top w:val="single" w:sz="24"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vAlign w:val="center"/>
                </w:tcPr>
                <w:p w14:paraId="2A137CFF" w14:textId="007CF599" w:rsidR="00251BC5" w:rsidRPr="00F74C06" w:rsidRDefault="00251BC5" w:rsidP="003D42CC">
                  <w:pPr>
                    <w:suppressAutoHyphens/>
                    <w:autoSpaceDN w:val="0"/>
                    <w:spacing w:after="0"/>
                    <w:textAlignment w:val="baseline"/>
                    <w:rPr>
                      <w:rFonts w:eastAsia="Times New Roman"/>
                      <w:b/>
                      <w:bCs/>
                      <w:color w:val="FFFFFF"/>
                      <w:kern w:val="3"/>
                      <w:sz w:val="24"/>
                      <w:szCs w:val="24"/>
                      <w:lang w:eastAsia="en-GB"/>
                    </w:rPr>
                  </w:pPr>
                  <w:r>
                    <w:rPr>
                      <w:rFonts w:eastAsia="Times New Roman"/>
                      <w:b/>
                      <w:bCs/>
                      <w:color w:val="FFFFFF"/>
                      <w:kern w:val="3"/>
                      <w:sz w:val="24"/>
                      <w:szCs w:val="24"/>
                      <w:lang w:eastAsia="en-GB"/>
                    </w:rPr>
                    <w:t>EDSO</w:t>
                  </w:r>
                </w:p>
              </w:tc>
              <w:tc>
                <w:tcPr>
                  <w:tcW w:w="3543" w:type="dxa"/>
                  <w:tcBorders>
                    <w:top w:val="single" w:sz="24" w:space="0" w:color="FFFFFF"/>
                    <w:left w:val="single" w:sz="8" w:space="0" w:color="FFFFFF"/>
                    <w:bottom w:val="single" w:sz="8" w:space="0" w:color="FFFFFF"/>
                    <w:right w:val="single" w:sz="8" w:space="0" w:color="FFFFFF"/>
                  </w:tcBorders>
                  <w:shd w:val="clear" w:color="auto" w:fill="CBE2F2"/>
                  <w:tcMar>
                    <w:top w:w="15" w:type="dxa"/>
                    <w:left w:w="101" w:type="dxa"/>
                    <w:bottom w:w="0" w:type="dxa"/>
                    <w:right w:w="101" w:type="dxa"/>
                  </w:tcMar>
                  <w:vAlign w:val="center"/>
                </w:tcPr>
                <w:p w14:paraId="48AEF91C" w14:textId="1C91F7B1" w:rsidR="00251BC5" w:rsidRPr="00F74C06" w:rsidRDefault="00251BC5" w:rsidP="003D42CC">
                  <w:pPr>
                    <w:suppressAutoHyphens/>
                    <w:autoSpaceDN w:val="0"/>
                    <w:spacing w:after="0" w:line="240" w:lineRule="auto"/>
                    <w:textAlignment w:val="baseline"/>
                  </w:pPr>
                  <w:r>
                    <w:rPr>
                      <w:rFonts w:eastAsia="Times New Roman"/>
                      <w:bCs/>
                      <w:color w:val="003399"/>
                      <w:kern w:val="3"/>
                      <w:sz w:val="24"/>
                      <w:szCs w:val="24"/>
                      <w:lang w:eastAsia="en-GB"/>
                    </w:rPr>
                    <w:t>Jeff Montagne</w:t>
                  </w:r>
                  <w:r w:rsidRPr="00F74C06">
                    <w:rPr>
                      <w:rFonts w:eastAsia="Times New Roman"/>
                      <w:bCs/>
                      <w:color w:val="003399"/>
                      <w:kern w:val="3"/>
                      <w:sz w:val="24"/>
                      <w:szCs w:val="24"/>
                      <w:lang w:eastAsia="en-GB"/>
                    </w:rPr>
                    <w:t xml:space="preserve"> </w:t>
                  </w:r>
                </w:p>
              </w:tc>
            </w:tr>
            <w:tr w:rsidR="00251BC5" w:rsidRPr="00F74C06" w14:paraId="6F756E14" w14:textId="77777777" w:rsidTr="00251BC5">
              <w:trPr>
                <w:cantSplit/>
                <w:trHeight w:hRule="exact" w:val="397"/>
              </w:trPr>
              <w:tc>
                <w:tcPr>
                  <w:tcW w:w="2202" w:type="dxa"/>
                  <w:tcBorders>
                    <w:top w:val="single" w:sz="8"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vAlign w:val="center"/>
                </w:tcPr>
                <w:p w14:paraId="7E8ABE44" w14:textId="2FE0DFBE" w:rsidR="00251BC5" w:rsidRPr="00F74C06" w:rsidRDefault="00251BC5" w:rsidP="003D42CC">
                  <w:pPr>
                    <w:suppressAutoHyphens/>
                    <w:autoSpaceDN w:val="0"/>
                    <w:spacing w:after="0"/>
                    <w:textAlignment w:val="baseline"/>
                    <w:rPr>
                      <w:rFonts w:eastAsia="Times New Roman"/>
                      <w:b/>
                      <w:bCs/>
                      <w:color w:val="FFFFFF"/>
                      <w:kern w:val="3"/>
                      <w:sz w:val="24"/>
                      <w:szCs w:val="24"/>
                      <w:lang w:eastAsia="en-GB"/>
                    </w:rPr>
                  </w:pPr>
                  <w:r>
                    <w:rPr>
                      <w:rFonts w:eastAsia="Times New Roman"/>
                      <w:b/>
                      <w:bCs/>
                      <w:color w:val="FFFFFF"/>
                      <w:kern w:val="3"/>
                      <w:sz w:val="24"/>
                      <w:szCs w:val="24"/>
                      <w:lang w:eastAsia="en-GB"/>
                    </w:rPr>
                    <w:t>GEODE</w:t>
                  </w:r>
                </w:p>
              </w:tc>
              <w:tc>
                <w:tcPr>
                  <w:tcW w:w="3543"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2BB23A5B" w14:textId="4512D0C2" w:rsidR="00251BC5" w:rsidRPr="00F74C06" w:rsidRDefault="00251BC5" w:rsidP="003D42CC">
                  <w:pPr>
                    <w:suppressAutoHyphens/>
                    <w:autoSpaceDN w:val="0"/>
                    <w:spacing w:after="0" w:line="240" w:lineRule="auto"/>
                    <w:textAlignment w:val="baseline"/>
                    <w:rPr>
                      <w:rFonts w:eastAsia="Times New Roman"/>
                      <w:bCs/>
                      <w:color w:val="003399"/>
                      <w:kern w:val="3"/>
                      <w:sz w:val="24"/>
                      <w:szCs w:val="24"/>
                      <w:lang w:eastAsia="en-GB"/>
                    </w:rPr>
                  </w:pPr>
                  <w:r>
                    <w:rPr>
                      <w:rFonts w:eastAsia="Times New Roman"/>
                      <w:bCs/>
                      <w:color w:val="003399"/>
                      <w:kern w:val="3"/>
                      <w:sz w:val="24"/>
                      <w:szCs w:val="24"/>
                      <w:lang w:eastAsia="en-GB"/>
                    </w:rPr>
                    <w:t>Franz Fischer</w:t>
                  </w:r>
                  <w:r w:rsidRPr="00F74C06">
                    <w:rPr>
                      <w:rFonts w:eastAsia="Times New Roman"/>
                      <w:bCs/>
                      <w:color w:val="003399"/>
                      <w:kern w:val="3"/>
                      <w:sz w:val="24"/>
                      <w:szCs w:val="24"/>
                      <w:lang w:eastAsia="en-GB"/>
                    </w:rPr>
                    <w:t xml:space="preserve"> </w:t>
                  </w:r>
                </w:p>
              </w:tc>
            </w:tr>
            <w:tr w:rsidR="00A914ED" w:rsidRPr="00F74C06" w14:paraId="64EBCF83" w14:textId="77777777" w:rsidTr="00251BC5">
              <w:trPr>
                <w:cantSplit/>
                <w:trHeight w:hRule="exact" w:val="397"/>
              </w:trPr>
              <w:tc>
                <w:tcPr>
                  <w:tcW w:w="2202" w:type="dxa"/>
                  <w:tcBorders>
                    <w:top w:val="single" w:sz="8"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vAlign w:val="center"/>
                </w:tcPr>
                <w:p w14:paraId="7F4E5DD7" w14:textId="6725A670" w:rsidR="00A914ED" w:rsidRDefault="00A914ED" w:rsidP="00A914ED">
                  <w:pPr>
                    <w:suppressAutoHyphens/>
                    <w:autoSpaceDN w:val="0"/>
                    <w:spacing w:after="0"/>
                    <w:textAlignment w:val="baseline"/>
                    <w:rPr>
                      <w:rFonts w:eastAsia="Times New Roman"/>
                      <w:b/>
                      <w:bCs/>
                      <w:color w:val="FFFFFF"/>
                      <w:kern w:val="3"/>
                      <w:sz w:val="24"/>
                      <w:szCs w:val="24"/>
                      <w:lang w:eastAsia="en-GB"/>
                    </w:rPr>
                  </w:pPr>
                  <w:r>
                    <w:rPr>
                      <w:rFonts w:eastAsia="Times New Roman"/>
                      <w:b/>
                      <w:bCs/>
                      <w:color w:val="FFFFFF"/>
                      <w:kern w:val="3"/>
                      <w:sz w:val="24"/>
                      <w:szCs w:val="24"/>
                      <w:lang w:eastAsia="en-GB"/>
                    </w:rPr>
                    <w:t>CEN-CENELEC</w:t>
                  </w:r>
                </w:p>
              </w:tc>
              <w:tc>
                <w:tcPr>
                  <w:tcW w:w="3543"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7C730DF8" w14:textId="2922FC5B" w:rsidR="00A914ED" w:rsidRDefault="00A914ED" w:rsidP="00A914ED">
                  <w:pPr>
                    <w:suppressAutoHyphens/>
                    <w:autoSpaceDN w:val="0"/>
                    <w:spacing w:after="0" w:line="240" w:lineRule="auto"/>
                    <w:textAlignment w:val="baseline"/>
                    <w:rPr>
                      <w:rFonts w:eastAsia="Times New Roman"/>
                      <w:bCs/>
                      <w:color w:val="003399"/>
                      <w:kern w:val="3"/>
                      <w:sz w:val="24"/>
                      <w:szCs w:val="24"/>
                      <w:lang w:eastAsia="en-GB"/>
                    </w:rPr>
                  </w:pPr>
                  <w:r>
                    <w:rPr>
                      <w:rFonts w:eastAsia="Times New Roman"/>
                      <w:bCs/>
                      <w:color w:val="003399"/>
                      <w:kern w:val="3"/>
                      <w:sz w:val="24"/>
                      <w:szCs w:val="24"/>
                      <w:lang w:eastAsia="en-GB"/>
                    </w:rPr>
                    <w:t>Eric Lambert</w:t>
                  </w:r>
                </w:p>
              </w:tc>
            </w:tr>
          </w:tbl>
          <w:p w14:paraId="7E4ABE2D" w14:textId="77777777" w:rsidR="008723E5" w:rsidRDefault="008723E5" w:rsidP="00F74C06">
            <w:pPr>
              <w:suppressAutoHyphens/>
              <w:autoSpaceDN w:val="0"/>
              <w:textAlignment w:val="baseline"/>
              <w:rPr>
                <w:rFonts w:ascii="Times New Roman" w:hAnsi="Times New Roman" w:cs="Times New Roman"/>
                <w:color w:val="000000"/>
                <w:sz w:val="24"/>
                <w:szCs w:val="24"/>
              </w:rPr>
            </w:pPr>
          </w:p>
        </w:tc>
      </w:tr>
    </w:tbl>
    <w:p w14:paraId="01BE8516" w14:textId="77777777" w:rsidR="00632334" w:rsidRDefault="00632334">
      <w:pPr>
        <w:rPr>
          <w:rFonts w:ascii="Times New Roman" w:hAnsi="Times New Roman" w:cs="Times New Roman"/>
          <w:color w:val="000000"/>
          <w:sz w:val="24"/>
          <w:szCs w:val="24"/>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2"/>
      </w:tblGrid>
      <w:tr w:rsidR="008723E5" w:rsidRPr="00610074" w14:paraId="0F7AE3F2" w14:textId="77777777" w:rsidTr="00EF0C24">
        <w:trPr>
          <w:trHeight w:val="2729"/>
          <w:jc w:val="center"/>
        </w:trPr>
        <w:tc>
          <w:tcPr>
            <w:tcW w:w="5363" w:type="dxa"/>
          </w:tcPr>
          <w:tbl>
            <w:tblPr>
              <w:tblW w:w="6446" w:type="dxa"/>
              <w:tblCellMar>
                <w:left w:w="10" w:type="dxa"/>
                <w:right w:w="10" w:type="dxa"/>
              </w:tblCellMar>
              <w:tblLook w:val="0000" w:firstRow="0" w:lastRow="0" w:firstColumn="0" w:lastColumn="0" w:noHBand="0" w:noVBand="0"/>
            </w:tblPr>
            <w:tblGrid>
              <w:gridCol w:w="2892"/>
              <w:gridCol w:w="3554"/>
            </w:tblGrid>
            <w:tr w:rsidR="008723E5" w:rsidRPr="00F74C06" w14:paraId="5D8367F3" w14:textId="77777777" w:rsidTr="00A914ED">
              <w:trPr>
                <w:cantSplit/>
                <w:trHeight w:hRule="exact" w:val="648"/>
              </w:trPr>
              <w:tc>
                <w:tcPr>
                  <w:tcW w:w="2892" w:type="dxa"/>
                  <w:tcBorders>
                    <w:top w:val="single" w:sz="8" w:space="0" w:color="FFFFFF"/>
                    <w:left w:val="single" w:sz="8" w:space="0" w:color="FFFFFF"/>
                    <w:bottom w:val="single" w:sz="24" w:space="0" w:color="FFFFFF"/>
                    <w:right w:val="single" w:sz="8" w:space="0" w:color="FFFFFF"/>
                  </w:tcBorders>
                  <w:shd w:val="clear" w:color="auto" w:fill="03A9DD"/>
                  <w:tcMar>
                    <w:top w:w="15" w:type="dxa"/>
                    <w:left w:w="101" w:type="dxa"/>
                    <w:bottom w:w="0" w:type="dxa"/>
                    <w:right w:w="101" w:type="dxa"/>
                  </w:tcMar>
                  <w:vAlign w:val="center"/>
                </w:tcPr>
                <w:p w14:paraId="0449A164" w14:textId="515EEF5B" w:rsidR="008723E5" w:rsidRPr="00F74C06" w:rsidRDefault="00251BC5" w:rsidP="00251BC5">
                  <w:pPr>
                    <w:suppressAutoHyphens/>
                    <w:autoSpaceDN w:val="0"/>
                    <w:spacing w:after="0"/>
                    <w:textAlignment w:val="baseline"/>
                    <w:rPr>
                      <w:rFonts w:eastAsia="Times New Roman"/>
                      <w:b/>
                      <w:bCs/>
                      <w:color w:val="FFFFFF"/>
                      <w:kern w:val="3"/>
                      <w:sz w:val="24"/>
                      <w:szCs w:val="24"/>
                      <w:lang w:eastAsia="en-GB"/>
                    </w:rPr>
                  </w:pPr>
                  <w:r>
                    <w:rPr>
                      <w:rFonts w:eastAsia="Times New Roman"/>
                      <w:b/>
                      <w:bCs/>
                      <w:color w:val="FFFFFF"/>
                      <w:kern w:val="3"/>
                      <w:sz w:val="24"/>
                      <w:szCs w:val="24"/>
                      <w:lang w:eastAsia="en-GB"/>
                    </w:rPr>
                    <w:t xml:space="preserve">Ad-hoc </w:t>
                  </w:r>
                  <w:r w:rsidR="008723E5">
                    <w:rPr>
                      <w:rFonts w:eastAsia="Times New Roman"/>
                      <w:b/>
                      <w:bCs/>
                      <w:color w:val="FFFFFF"/>
                      <w:kern w:val="3"/>
                      <w:sz w:val="24"/>
                      <w:szCs w:val="24"/>
                      <w:lang w:eastAsia="en-GB"/>
                    </w:rPr>
                    <w:t>Subgroup</w:t>
                  </w:r>
                </w:p>
              </w:tc>
              <w:tc>
                <w:tcPr>
                  <w:tcW w:w="3554" w:type="dxa"/>
                  <w:tcBorders>
                    <w:top w:val="single" w:sz="8" w:space="0" w:color="FFFFFF"/>
                    <w:left w:val="single" w:sz="8" w:space="0" w:color="FFFFFF"/>
                    <w:bottom w:val="single" w:sz="24" w:space="0" w:color="FFFFFF"/>
                    <w:right w:val="single" w:sz="8" w:space="0" w:color="FFFFFF"/>
                  </w:tcBorders>
                  <w:shd w:val="clear" w:color="auto" w:fill="03A9DD"/>
                  <w:tcMar>
                    <w:top w:w="15" w:type="dxa"/>
                    <w:left w:w="101" w:type="dxa"/>
                    <w:bottom w:w="0" w:type="dxa"/>
                    <w:right w:w="101" w:type="dxa"/>
                  </w:tcMar>
                  <w:vAlign w:val="center"/>
                </w:tcPr>
                <w:p w14:paraId="66120CD6" w14:textId="7DDF878D" w:rsidR="008723E5" w:rsidRPr="00251BC5" w:rsidRDefault="008723E5" w:rsidP="00251BC5">
                  <w:pPr>
                    <w:suppressAutoHyphens/>
                    <w:autoSpaceDN w:val="0"/>
                    <w:spacing w:after="0"/>
                    <w:textAlignment w:val="baseline"/>
                    <w:rPr>
                      <w:rFonts w:eastAsia="Times New Roman"/>
                      <w:b/>
                      <w:bCs/>
                      <w:color w:val="FFFFFF"/>
                      <w:kern w:val="3"/>
                      <w:sz w:val="24"/>
                      <w:szCs w:val="24"/>
                      <w:lang w:eastAsia="en-GB"/>
                    </w:rPr>
                  </w:pPr>
                  <w:r w:rsidRPr="007605AA">
                    <w:rPr>
                      <w:rFonts w:eastAsia="Times New Roman"/>
                      <w:b/>
                      <w:bCs/>
                      <w:color w:val="FFFFFF"/>
                      <w:kern w:val="3"/>
                      <w:sz w:val="24"/>
                      <w:szCs w:val="24"/>
                      <w:lang w:eastAsia="en-GB"/>
                    </w:rPr>
                    <w:t xml:space="preserve">Subgroup </w:t>
                  </w:r>
                  <w:r>
                    <w:rPr>
                      <w:rFonts w:eastAsia="Times New Roman"/>
                      <w:b/>
                      <w:bCs/>
                      <w:color w:val="FFFFFF"/>
                      <w:kern w:val="3"/>
                      <w:sz w:val="24"/>
                      <w:szCs w:val="24"/>
                      <w:lang w:eastAsia="en-GB"/>
                    </w:rPr>
                    <w:t>leader</w:t>
                  </w:r>
                  <w:r w:rsidRPr="00F74C06">
                    <w:rPr>
                      <w:rFonts w:eastAsia="Times New Roman"/>
                      <w:b/>
                      <w:bCs/>
                      <w:color w:val="FFFFFF"/>
                      <w:kern w:val="3"/>
                      <w:sz w:val="24"/>
                      <w:szCs w:val="24"/>
                      <w:lang w:eastAsia="en-GB"/>
                    </w:rPr>
                    <w:t xml:space="preserve"> (</w:t>
                  </w:r>
                  <w:r>
                    <w:rPr>
                      <w:rFonts w:eastAsia="Times New Roman"/>
                      <w:b/>
                      <w:bCs/>
                      <w:color w:val="FFFFFF"/>
                      <w:kern w:val="3"/>
                      <w:sz w:val="24"/>
                      <w:szCs w:val="24"/>
                      <w:lang w:eastAsia="en-GB"/>
                    </w:rPr>
                    <w:t>Association</w:t>
                  </w:r>
                  <w:r w:rsidRPr="00F74C06">
                    <w:rPr>
                      <w:rFonts w:eastAsia="Times New Roman"/>
                      <w:b/>
                      <w:bCs/>
                      <w:color w:val="FFFFFF"/>
                      <w:kern w:val="3"/>
                      <w:sz w:val="24"/>
                      <w:szCs w:val="24"/>
                      <w:lang w:eastAsia="en-GB"/>
                    </w:rPr>
                    <w:t xml:space="preserve">) </w:t>
                  </w:r>
                </w:p>
              </w:tc>
            </w:tr>
            <w:tr w:rsidR="008723E5" w:rsidRPr="00F74C06" w14:paraId="4640611B" w14:textId="77777777" w:rsidTr="00A914ED">
              <w:trPr>
                <w:cantSplit/>
                <w:trHeight w:hRule="exact" w:val="397"/>
              </w:trPr>
              <w:tc>
                <w:tcPr>
                  <w:tcW w:w="2892" w:type="dxa"/>
                  <w:tcBorders>
                    <w:top w:val="single" w:sz="24"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vAlign w:val="center"/>
                </w:tcPr>
                <w:p w14:paraId="1537B8EF" w14:textId="77777777" w:rsidR="008723E5" w:rsidRPr="00F74C06" w:rsidRDefault="008723E5" w:rsidP="003D42CC">
                  <w:pPr>
                    <w:suppressAutoHyphens/>
                    <w:autoSpaceDN w:val="0"/>
                    <w:spacing w:after="0"/>
                    <w:textAlignment w:val="baseline"/>
                    <w:rPr>
                      <w:rFonts w:eastAsia="Times New Roman"/>
                      <w:b/>
                      <w:bCs/>
                      <w:color w:val="FFFFFF"/>
                      <w:kern w:val="3"/>
                      <w:sz w:val="24"/>
                      <w:szCs w:val="24"/>
                      <w:lang w:eastAsia="en-GB"/>
                    </w:rPr>
                  </w:pPr>
                  <w:r>
                    <w:rPr>
                      <w:rFonts w:eastAsia="Times New Roman"/>
                      <w:b/>
                      <w:bCs/>
                      <w:color w:val="FFFFFF"/>
                      <w:kern w:val="3"/>
                      <w:sz w:val="24"/>
                      <w:szCs w:val="24"/>
                      <w:lang w:eastAsia="en-GB"/>
                    </w:rPr>
                    <w:t>Change of Supplier</w:t>
                  </w:r>
                </w:p>
              </w:tc>
              <w:tc>
                <w:tcPr>
                  <w:tcW w:w="3554" w:type="dxa"/>
                  <w:tcBorders>
                    <w:top w:val="single" w:sz="24" w:space="0" w:color="FFFFFF"/>
                    <w:left w:val="single" w:sz="8" w:space="0" w:color="FFFFFF"/>
                    <w:bottom w:val="single" w:sz="8" w:space="0" w:color="FFFFFF"/>
                    <w:right w:val="single" w:sz="8" w:space="0" w:color="FFFFFF"/>
                  </w:tcBorders>
                  <w:shd w:val="clear" w:color="auto" w:fill="CBE2F2"/>
                  <w:tcMar>
                    <w:top w:w="15" w:type="dxa"/>
                    <w:left w:w="101" w:type="dxa"/>
                    <w:bottom w:w="0" w:type="dxa"/>
                    <w:right w:w="101" w:type="dxa"/>
                  </w:tcMar>
                  <w:vAlign w:val="center"/>
                </w:tcPr>
                <w:p w14:paraId="15BE72A2" w14:textId="77777777" w:rsidR="008723E5" w:rsidRPr="00F74C06" w:rsidRDefault="008723E5" w:rsidP="003D42CC">
                  <w:pPr>
                    <w:suppressAutoHyphens/>
                    <w:autoSpaceDN w:val="0"/>
                    <w:spacing w:after="0" w:line="240" w:lineRule="auto"/>
                    <w:textAlignment w:val="baseline"/>
                  </w:pPr>
                  <w:r w:rsidRPr="00F74C06">
                    <w:rPr>
                      <w:rFonts w:eastAsia="Times New Roman"/>
                      <w:bCs/>
                      <w:color w:val="003399"/>
                      <w:kern w:val="3"/>
                      <w:sz w:val="24"/>
                      <w:szCs w:val="24"/>
                      <w:lang w:eastAsia="en-GB"/>
                    </w:rPr>
                    <w:t>Kees Sparreboom</w:t>
                  </w:r>
                  <w:r>
                    <w:rPr>
                      <w:rFonts w:eastAsia="Times New Roman"/>
                      <w:bCs/>
                      <w:color w:val="003399"/>
                      <w:kern w:val="3"/>
                      <w:sz w:val="24"/>
                      <w:szCs w:val="24"/>
                      <w:lang w:eastAsia="en-GB"/>
                    </w:rPr>
                    <w:t xml:space="preserve"> (ebIX)</w:t>
                  </w:r>
                </w:p>
              </w:tc>
            </w:tr>
            <w:tr w:rsidR="008723E5" w:rsidRPr="00F74C06" w14:paraId="173B5886" w14:textId="77777777" w:rsidTr="00A914ED">
              <w:trPr>
                <w:cantSplit/>
                <w:trHeight w:hRule="exact" w:val="397"/>
              </w:trPr>
              <w:tc>
                <w:tcPr>
                  <w:tcW w:w="2892" w:type="dxa"/>
                  <w:tcBorders>
                    <w:top w:val="single" w:sz="8"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vAlign w:val="center"/>
                </w:tcPr>
                <w:p w14:paraId="2EDA21C0" w14:textId="77777777" w:rsidR="008723E5" w:rsidRPr="00F74C06" w:rsidRDefault="008723E5" w:rsidP="003D42CC">
                  <w:pPr>
                    <w:suppressAutoHyphens/>
                    <w:autoSpaceDN w:val="0"/>
                    <w:spacing w:after="0"/>
                    <w:textAlignment w:val="baseline"/>
                    <w:rPr>
                      <w:rFonts w:eastAsia="Times New Roman"/>
                      <w:b/>
                      <w:bCs/>
                      <w:color w:val="FFFFFF"/>
                      <w:kern w:val="3"/>
                      <w:sz w:val="24"/>
                      <w:szCs w:val="24"/>
                      <w:lang w:eastAsia="en-GB"/>
                    </w:rPr>
                  </w:pPr>
                  <w:r>
                    <w:rPr>
                      <w:rFonts w:eastAsia="Times New Roman"/>
                      <w:b/>
                      <w:bCs/>
                      <w:color w:val="FFFFFF"/>
                      <w:kern w:val="3"/>
                      <w:sz w:val="24"/>
                      <w:szCs w:val="24"/>
                      <w:lang w:eastAsia="en-GB"/>
                    </w:rPr>
                    <w:t>Billing</w:t>
                  </w:r>
                </w:p>
              </w:tc>
              <w:tc>
                <w:tcPr>
                  <w:tcW w:w="3554" w:type="dxa"/>
                  <w:tcBorders>
                    <w:top w:val="single" w:sz="8" w:space="0" w:color="FFFFFF"/>
                    <w:left w:val="single" w:sz="8" w:space="0" w:color="FFFFFF"/>
                    <w:bottom w:val="single" w:sz="8" w:space="0" w:color="FFFFFF"/>
                    <w:right w:val="single" w:sz="8" w:space="0" w:color="FFFFFF"/>
                  </w:tcBorders>
                  <w:shd w:val="clear" w:color="auto" w:fill="E7F1F9"/>
                  <w:tcMar>
                    <w:top w:w="15" w:type="dxa"/>
                    <w:left w:w="101" w:type="dxa"/>
                    <w:bottom w:w="0" w:type="dxa"/>
                    <w:right w:w="101" w:type="dxa"/>
                  </w:tcMar>
                  <w:vAlign w:val="center"/>
                </w:tcPr>
                <w:p w14:paraId="014D8D88" w14:textId="77777777" w:rsidR="008723E5" w:rsidRPr="00F74C06" w:rsidRDefault="008723E5" w:rsidP="003D42CC">
                  <w:pPr>
                    <w:suppressAutoHyphens/>
                    <w:autoSpaceDN w:val="0"/>
                    <w:spacing w:after="0" w:line="240" w:lineRule="auto"/>
                    <w:textAlignment w:val="baseline"/>
                    <w:rPr>
                      <w:rFonts w:eastAsia="Times New Roman"/>
                      <w:bCs/>
                      <w:color w:val="003399"/>
                      <w:kern w:val="3"/>
                      <w:sz w:val="24"/>
                      <w:szCs w:val="24"/>
                      <w:lang w:eastAsia="en-GB"/>
                    </w:rPr>
                  </w:pPr>
                  <w:r w:rsidRPr="00F74C06">
                    <w:rPr>
                      <w:rFonts w:eastAsia="Times New Roman"/>
                      <w:bCs/>
                      <w:color w:val="003399"/>
                      <w:kern w:val="3"/>
                      <w:sz w:val="24"/>
                      <w:szCs w:val="24"/>
                      <w:lang w:eastAsia="en-GB"/>
                    </w:rPr>
                    <w:t xml:space="preserve">Paul de Wit </w:t>
                  </w:r>
                  <w:r>
                    <w:rPr>
                      <w:rFonts w:eastAsia="Times New Roman"/>
                      <w:bCs/>
                      <w:color w:val="003399"/>
                      <w:kern w:val="3"/>
                      <w:sz w:val="24"/>
                      <w:szCs w:val="24"/>
                      <w:lang w:eastAsia="en-GB"/>
                    </w:rPr>
                    <w:t>(Eurelectric)</w:t>
                  </w:r>
                </w:p>
              </w:tc>
            </w:tr>
            <w:tr w:rsidR="008723E5" w:rsidRPr="00F74C06" w14:paraId="3E8209FE" w14:textId="77777777" w:rsidTr="00A914ED">
              <w:trPr>
                <w:cantSplit/>
                <w:trHeight w:hRule="exact" w:val="397"/>
              </w:trPr>
              <w:tc>
                <w:tcPr>
                  <w:tcW w:w="2892" w:type="dxa"/>
                  <w:tcBorders>
                    <w:top w:val="single" w:sz="8"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vAlign w:val="center"/>
                </w:tcPr>
                <w:p w14:paraId="5ABFD669" w14:textId="1BC6BA98" w:rsidR="008723E5" w:rsidRPr="0078313B" w:rsidRDefault="00E23EFC" w:rsidP="003D42CC">
                  <w:pPr>
                    <w:suppressAutoHyphens/>
                    <w:autoSpaceDN w:val="0"/>
                    <w:spacing w:after="0"/>
                    <w:textAlignment w:val="baseline"/>
                    <w:rPr>
                      <w:rFonts w:eastAsia="Times New Roman"/>
                      <w:b/>
                      <w:bCs/>
                      <w:color w:val="FFFFFF"/>
                      <w:kern w:val="3"/>
                      <w:sz w:val="24"/>
                      <w:szCs w:val="24"/>
                      <w:lang w:eastAsia="en-GB"/>
                    </w:rPr>
                  </w:pPr>
                  <w:r w:rsidRPr="0078313B">
                    <w:rPr>
                      <w:rFonts w:eastAsia="Times New Roman"/>
                      <w:b/>
                      <w:bCs/>
                      <w:color w:val="FFFFFF"/>
                      <w:kern w:val="3"/>
                      <w:sz w:val="24"/>
                      <w:szCs w:val="24"/>
                      <w:lang w:eastAsia="en-GB"/>
                    </w:rPr>
                    <w:t>New &amp; Emerging</w:t>
                  </w:r>
                  <w:r w:rsidR="008723E5" w:rsidRPr="0078313B">
                    <w:rPr>
                      <w:rFonts w:eastAsia="Times New Roman"/>
                      <w:b/>
                      <w:bCs/>
                      <w:color w:val="FFFFFF"/>
                      <w:kern w:val="3"/>
                      <w:sz w:val="24"/>
                      <w:szCs w:val="24"/>
                      <w:lang w:eastAsia="en-GB"/>
                    </w:rPr>
                    <w:t xml:space="preserve"> Services </w:t>
                  </w:r>
                </w:p>
              </w:tc>
              <w:tc>
                <w:tcPr>
                  <w:tcW w:w="3554" w:type="dxa"/>
                  <w:tcBorders>
                    <w:top w:val="single" w:sz="8" w:space="0" w:color="FFFFFF"/>
                    <w:left w:val="single" w:sz="8" w:space="0" w:color="FFFFFF"/>
                    <w:bottom w:val="single" w:sz="8" w:space="0" w:color="FFFFFF"/>
                    <w:right w:val="single" w:sz="8" w:space="0" w:color="FFFFFF"/>
                  </w:tcBorders>
                  <w:shd w:val="clear" w:color="auto" w:fill="CBE2F2"/>
                  <w:tcMar>
                    <w:top w:w="15" w:type="dxa"/>
                    <w:left w:w="101" w:type="dxa"/>
                    <w:bottom w:w="0" w:type="dxa"/>
                    <w:right w:w="101" w:type="dxa"/>
                  </w:tcMar>
                  <w:vAlign w:val="center"/>
                </w:tcPr>
                <w:p w14:paraId="0C91554C" w14:textId="77777777" w:rsidR="008723E5" w:rsidRPr="00F74C06" w:rsidRDefault="008723E5" w:rsidP="003D42CC">
                  <w:pPr>
                    <w:suppressAutoHyphens/>
                    <w:autoSpaceDN w:val="0"/>
                    <w:spacing w:after="0" w:line="240" w:lineRule="auto"/>
                    <w:textAlignment w:val="baseline"/>
                  </w:pPr>
                  <w:r w:rsidRPr="008723E5">
                    <w:rPr>
                      <w:rFonts w:eastAsia="Times New Roman"/>
                      <w:bCs/>
                      <w:color w:val="003399"/>
                      <w:kern w:val="3"/>
                      <w:sz w:val="24"/>
                      <w:szCs w:val="24"/>
                      <w:lang w:eastAsia="en-GB"/>
                    </w:rPr>
                    <w:t>Jeff Montagne (EDSO)</w:t>
                  </w:r>
                </w:p>
              </w:tc>
            </w:tr>
            <w:tr w:rsidR="008723E5" w:rsidRPr="00610074" w14:paraId="33E3874F" w14:textId="77777777" w:rsidTr="00A914ED">
              <w:trPr>
                <w:cantSplit/>
                <w:trHeight w:hRule="exact" w:val="788"/>
              </w:trPr>
              <w:tc>
                <w:tcPr>
                  <w:tcW w:w="2892" w:type="dxa"/>
                  <w:tcBorders>
                    <w:top w:val="single" w:sz="8" w:space="0" w:color="FFFFFF"/>
                    <w:left w:val="single" w:sz="8" w:space="0" w:color="FFFFFF"/>
                    <w:bottom w:val="single" w:sz="8" w:space="0" w:color="FFFFFF"/>
                    <w:right w:val="single" w:sz="8" w:space="0" w:color="FFFFFF"/>
                  </w:tcBorders>
                  <w:shd w:val="clear" w:color="auto" w:fill="03A9DD"/>
                  <w:tcMar>
                    <w:top w:w="15" w:type="dxa"/>
                    <w:left w:w="101" w:type="dxa"/>
                    <w:bottom w:w="0" w:type="dxa"/>
                    <w:right w:w="101" w:type="dxa"/>
                  </w:tcMar>
                  <w:vAlign w:val="center"/>
                </w:tcPr>
                <w:p w14:paraId="1DC636C2" w14:textId="77777777" w:rsidR="008723E5" w:rsidRPr="00F74C06" w:rsidRDefault="008723E5" w:rsidP="003D42CC">
                  <w:pPr>
                    <w:suppressAutoHyphens/>
                    <w:autoSpaceDN w:val="0"/>
                    <w:spacing w:after="0"/>
                    <w:textAlignment w:val="baseline"/>
                    <w:rPr>
                      <w:rFonts w:eastAsia="Times New Roman"/>
                      <w:b/>
                      <w:bCs/>
                      <w:color w:val="FFFFFF"/>
                      <w:kern w:val="3"/>
                      <w:sz w:val="24"/>
                      <w:szCs w:val="24"/>
                      <w:lang w:eastAsia="en-GB"/>
                    </w:rPr>
                  </w:pPr>
                  <w:r>
                    <w:rPr>
                      <w:rFonts w:eastAsia="Times New Roman"/>
                      <w:b/>
                      <w:bCs/>
                      <w:color w:val="FFFFFF"/>
                      <w:kern w:val="3"/>
                      <w:sz w:val="24"/>
                      <w:szCs w:val="24"/>
                      <w:lang w:val="en-GB" w:eastAsia="en-GB"/>
                    </w:rPr>
                    <w:t>Interoperability</w:t>
                  </w:r>
                </w:p>
              </w:tc>
              <w:tc>
                <w:tcPr>
                  <w:tcW w:w="3554" w:type="dxa"/>
                  <w:tcBorders>
                    <w:top w:val="single" w:sz="8" w:space="0" w:color="FFFFFF"/>
                    <w:left w:val="single" w:sz="8" w:space="0" w:color="FFFFFF"/>
                    <w:bottom w:val="single" w:sz="8" w:space="0" w:color="FFFFFF"/>
                    <w:right w:val="single" w:sz="8" w:space="0" w:color="FFFFFF"/>
                  </w:tcBorders>
                  <w:shd w:val="clear" w:color="auto" w:fill="CBE2F2"/>
                  <w:tcMar>
                    <w:top w:w="15" w:type="dxa"/>
                    <w:left w:w="101" w:type="dxa"/>
                    <w:bottom w:w="0" w:type="dxa"/>
                    <w:right w:w="101" w:type="dxa"/>
                  </w:tcMar>
                  <w:vAlign w:val="center"/>
                </w:tcPr>
                <w:p w14:paraId="582F7004" w14:textId="554171A7" w:rsidR="008723E5" w:rsidRPr="0078313B" w:rsidRDefault="00F63E72" w:rsidP="003D42CC">
                  <w:pPr>
                    <w:suppressAutoHyphens/>
                    <w:autoSpaceDN w:val="0"/>
                    <w:spacing w:after="0" w:line="240" w:lineRule="auto"/>
                    <w:textAlignment w:val="baseline"/>
                    <w:rPr>
                      <w:color w:val="003399"/>
                      <w:kern w:val="3"/>
                      <w:sz w:val="24"/>
                      <w:lang w:val="de-AT"/>
                    </w:rPr>
                  </w:pPr>
                  <w:r>
                    <w:rPr>
                      <w:color w:val="003399"/>
                      <w:kern w:val="3"/>
                      <w:sz w:val="16"/>
                      <w:szCs w:val="16"/>
                      <w:lang w:val="de-AT"/>
                    </w:rPr>
                    <w:t>since</w:t>
                  </w:r>
                  <w:r w:rsidR="00A914ED" w:rsidRPr="00A914ED">
                    <w:rPr>
                      <w:color w:val="003399"/>
                      <w:kern w:val="3"/>
                      <w:sz w:val="16"/>
                      <w:szCs w:val="16"/>
                      <w:lang w:val="de-AT"/>
                    </w:rPr>
                    <w:t xml:space="preserve"> 0</w:t>
                  </w:r>
                  <w:r w:rsidR="00A914ED">
                    <w:rPr>
                      <w:color w:val="003399"/>
                      <w:kern w:val="3"/>
                      <w:sz w:val="16"/>
                      <w:szCs w:val="16"/>
                      <w:lang w:val="de-AT"/>
                    </w:rPr>
                    <w:t>5</w:t>
                  </w:r>
                  <w:r w:rsidR="00A914ED" w:rsidRPr="00A914ED">
                    <w:rPr>
                      <w:color w:val="003399"/>
                      <w:kern w:val="3"/>
                      <w:sz w:val="16"/>
                      <w:szCs w:val="16"/>
                      <w:lang w:val="de-AT"/>
                    </w:rPr>
                    <w:t>/2018</w:t>
                  </w:r>
                  <w:r w:rsidR="00A914ED">
                    <w:rPr>
                      <w:color w:val="003399"/>
                      <w:kern w:val="3"/>
                      <w:sz w:val="24"/>
                      <w:lang w:val="de-AT"/>
                    </w:rPr>
                    <w:t xml:space="preserve"> </w:t>
                  </w:r>
                  <w:r w:rsidR="008723E5" w:rsidRPr="0078313B">
                    <w:rPr>
                      <w:color w:val="003399"/>
                      <w:kern w:val="3"/>
                      <w:sz w:val="24"/>
                      <w:lang w:val="de-AT"/>
                    </w:rPr>
                    <w:t>Georg Hartner (GEODE);</w:t>
                  </w:r>
                </w:p>
                <w:p w14:paraId="7A4B4002" w14:textId="195DB627" w:rsidR="008723E5" w:rsidRPr="0078313B" w:rsidRDefault="008723E5" w:rsidP="001C4F72">
                  <w:pPr>
                    <w:suppressAutoHyphens/>
                    <w:autoSpaceDN w:val="0"/>
                    <w:spacing w:after="0" w:line="240" w:lineRule="auto"/>
                    <w:textAlignment w:val="baseline"/>
                    <w:rPr>
                      <w:color w:val="003399"/>
                      <w:kern w:val="3"/>
                      <w:sz w:val="24"/>
                      <w:lang w:val="de-AT"/>
                    </w:rPr>
                  </w:pPr>
                  <w:r w:rsidRPr="00A914ED">
                    <w:rPr>
                      <w:color w:val="003399"/>
                      <w:kern w:val="3"/>
                      <w:sz w:val="16"/>
                      <w:szCs w:val="16"/>
                      <w:lang w:val="de-AT"/>
                    </w:rPr>
                    <w:t>earlier</w:t>
                  </w:r>
                  <w:r w:rsidRPr="0078313B">
                    <w:rPr>
                      <w:color w:val="003399"/>
                      <w:kern w:val="3"/>
                      <w:sz w:val="20"/>
                      <w:lang w:val="de-AT"/>
                    </w:rPr>
                    <w:t xml:space="preserve"> </w:t>
                  </w:r>
                  <w:r w:rsidR="001C4F72" w:rsidRPr="0078313B">
                    <w:rPr>
                      <w:color w:val="003399"/>
                      <w:kern w:val="3"/>
                      <w:sz w:val="24"/>
                      <w:lang w:val="de-AT"/>
                    </w:rPr>
                    <w:t xml:space="preserve">Olivier Aine (ENTSO-E) </w:t>
                  </w:r>
                </w:p>
              </w:tc>
            </w:tr>
          </w:tbl>
          <w:p w14:paraId="3ACAC1D5" w14:textId="77777777" w:rsidR="008723E5" w:rsidRPr="0078313B" w:rsidRDefault="008723E5" w:rsidP="003D42CC">
            <w:pPr>
              <w:suppressAutoHyphens/>
              <w:autoSpaceDN w:val="0"/>
              <w:textAlignment w:val="baseline"/>
              <w:rPr>
                <w:rFonts w:ascii="Times New Roman" w:hAnsi="Times New Roman"/>
                <w:color w:val="000000"/>
                <w:sz w:val="24"/>
                <w:lang w:val="de-AT"/>
              </w:rPr>
            </w:pPr>
          </w:p>
        </w:tc>
      </w:tr>
    </w:tbl>
    <w:p w14:paraId="044DE8A7" w14:textId="7EADF9EF" w:rsidR="00251BC5" w:rsidRPr="0078313B" w:rsidRDefault="00251BC5">
      <w:pPr>
        <w:rPr>
          <w:rFonts w:ascii="Times New Roman" w:hAnsi="Times New Roman"/>
          <w:color w:val="000000"/>
          <w:sz w:val="24"/>
          <w:lang w:val="de-AT"/>
        </w:rPr>
      </w:pPr>
    </w:p>
    <w:p w14:paraId="35FFA4AD" w14:textId="77777777" w:rsidR="001C5690" w:rsidRDefault="001C5690">
      <w:pPr>
        <w:spacing w:after="0" w:line="240" w:lineRule="auto"/>
        <w:rPr>
          <w:rFonts w:ascii="Times New Roman" w:hAnsi="Times New Roman"/>
          <w:color w:val="000000"/>
          <w:sz w:val="24"/>
          <w:lang w:val="de-AT"/>
        </w:rPr>
      </w:pPr>
    </w:p>
    <w:p w14:paraId="34C68222" w14:textId="77777777" w:rsidR="001C5690" w:rsidRDefault="001C5690">
      <w:pPr>
        <w:spacing w:after="0" w:line="240" w:lineRule="auto"/>
        <w:rPr>
          <w:rFonts w:ascii="Times New Roman" w:hAnsi="Times New Roman"/>
          <w:color w:val="000000"/>
          <w:sz w:val="24"/>
          <w:lang w:val="de-AT"/>
        </w:rPr>
      </w:pPr>
      <w:r>
        <w:rPr>
          <w:rFonts w:ascii="Times New Roman" w:hAnsi="Times New Roman"/>
          <w:color w:val="000000"/>
          <w:sz w:val="24"/>
          <w:lang w:val="de-AT"/>
        </w:rPr>
        <w:br w:type="page"/>
      </w:r>
    </w:p>
    <w:p w14:paraId="01119591" w14:textId="2FE4F188" w:rsidR="00C32CFB" w:rsidRDefault="000B032D" w:rsidP="005F46EB">
      <w:pPr>
        <w:pStyle w:val="Heading1"/>
        <w:numPr>
          <w:ilvl w:val="0"/>
          <w:numId w:val="16"/>
        </w:numPr>
        <w:spacing w:before="0" w:after="200"/>
        <w:rPr>
          <w:lang w:val="en-GB"/>
        </w:rPr>
      </w:pPr>
      <w:bookmarkStart w:id="317" w:name="_Toc533261873"/>
      <w:r>
        <w:rPr>
          <w:lang w:val="en-GB"/>
        </w:rPr>
        <w:lastRenderedPageBreak/>
        <w:t xml:space="preserve">Deliverables </w:t>
      </w:r>
      <w:r w:rsidR="007E3DFA">
        <w:rPr>
          <w:lang w:val="en-GB"/>
        </w:rPr>
        <w:t xml:space="preserve">and supporting material </w:t>
      </w:r>
      <w:r>
        <w:rPr>
          <w:lang w:val="en-GB"/>
        </w:rPr>
        <w:t>regarding interoperability</w:t>
      </w:r>
      <w:bookmarkEnd w:id="317"/>
      <w:r>
        <w:rPr>
          <w:lang w:val="en-GB"/>
        </w:rPr>
        <w:t xml:space="preserve"> </w:t>
      </w:r>
    </w:p>
    <w:p w14:paraId="4D8DA616" w14:textId="6EA63A46" w:rsidR="00C32CFB" w:rsidRDefault="00C32CFB" w:rsidP="005F46EB">
      <w:pPr>
        <w:pStyle w:val="Heading2"/>
        <w:numPr>
          <w:ilvl w:val="1"/>
          <w:numId w:val="17"/>
        </w:numPr>
        <w:spacing w:after="200"/>
        <w:rPr>
          <w:lang w:val="en-GB"/>
        </w:rPr>
      </w:pPr>
      <w:bookmarkStart w:id="318" w:name="_Toc533261874"/>
      <w:r>
        <w:rPr>
          <w:lang w:val="en-GB"/>
        </w:rPr>
        <w:t>Heading 2</w:t>
      </w:r>
      <w:bookmarkEnd w:id="318"/>
    </w:p>
    <w:p w14:paraId="7A1679E6" w14:textId="77777777" w:rsidR="001C5690" w:rsidRPr="001C5690" w:rsidRDefault="001C5690" w:rsidP="001C5690">
      <w:pPr>
        <w:rPr>
          <w:lang w:val="en-GB"/>
        </w:rPr>
      </w:pPr>
    </w:p>
    <w:p w14:paraId="390E7F36" w14:textId="25EE2260" w:rsidR="00C32CFB" w:rsidRDefault="00C32CFB" w:rsidP="005F46EB">
      <w:pPr>
        <w:pStyle w:val="Heading2"/>
        <w:numPr>
          <w:ilvl w:val="1"/>
          <w:numId w:val="17"/>
        </w:numPr>
        <w:spacing w:after="200"/>
        <w:rPr>
          <w:lang w:val="en-GB"/>
        </w:rPr>
      </w:pPr>
      <w:bookmarkStart w:id="319" w:name="_Toc533261875"/>
      <w:r>
        <w:rPr>
          <w:lang w:val="en-GB"/>
        </w:rPr>
        <w:t>Heading 2</w:t>
      </w:r>
      <w:bookmarkEnd w:id="319"/>
    </w:p>
    <w:p w14:paraId="548175B2" w14:textId="77777777" w:rsidR="0047653F" w:rsidRPr="0047653F" w:rsidRDefault="0047653F" w:rsidP="0047653F">
      <w:pPr>
        <w:rPr>
          <w:lang w:val="en-GB"/>
        </w:rPr>
      </w:pPr>
    </w:p>
    <w:p w14:paraId="201FA1B2" w14:textId="357EE189" w:rsidR="001C5690" w:rsidRDefault="0047653F" w:rsidP="00C32CFB">
      <w:pPr>
        <w:keepNext/>
        <w:keepLines/>
        <w:numPr>
          <w:ilvl w:val="1"/>
          <w:numId w:val="17"/>
        </w:numPr>
        <w:spacing w:before="200" w:line="240" w:lineRule="auto"/>
        <w:outlineLvl w:val="1"/>
        <w:rPr>
          <w:rFonts w:ascii="Cambria" w:hAnsi="Cambria" w:cs="Times New Roman"/>
          <w:color w:val="4F81BD"/>
          <w:sz w:val="26"/>
          <w:lang w:val="en-GB"/>
        </w:rPr>
      </w:pPr>
      <w:r>
        <w:rPr>
          <w:rFonts w:ascii="Cambria" w:hAnsi="Cambria" w:cs="Times New Roman"/>
          <w:color w:val="4F81BD"/>
          <w:sz w:val="26"/>
          <w:lang w:val="en-GB"/>
        </w:rPr>
        <w:t xml:space="preserve"> </w:t>
      </w:r>
      <w:bookmarkStart w:id="320" w:name="_Toc533261876"/>
      <w:r>
        <w:rPr>
          <w:rFonts w:ascii="Cambria" w:hAnsi="Cambria" w:cs="Times New Roman"/>
          <w:color w:val="4F81BD"/>
          <w:sz w:val="26"/>
          <w:lang w:val="en-GB"/>
        </w:rPr>
        <w:t xml:space="preserve">Deliverable 3 - </w:t>
      </w:r>
      <w:r w:rsidRPr="0047653F">
        <w:rPr>
          <w:rFonts w:ascii="Cambria" w:hAnsi="Cambria" w:cs="Times New Roman"/>
          <w:color w:val="4F81BD"/>
          <w:sz w:val="26"/>
          <w:lang w:val="en-GB"/>
        </w:rPr>
        <w:t>Cost-benefit considerations</w:t>
      </w:r>
      <w:bookmarkEnd w:id="320"/>
      <w:r w:rsidRPr="0047653F">
        <w:rPr>
          <w:rFonts w:ascii="Cambria" w:hAnsi="Cambria" w:cs="Times New Roman"/>
          <w:color w:val="4F81BD"/>
          <w:sz w:val="26"/>
          <w:lang w:val="en-GB"/>
        </w:rPr>
        <w:t xml:space="preserve"> </w:t>
      </w:r>
    </w:p>
    <w:p w14:paraId="058D1C43" w14:textId="77777777" w:rsidR="0047653F" w:rsidRPr="0047653F" w:rsidRDefault="0047653F" w:rsidP="0047653F">
      <w:pPr>
        <w:keepNext/>
        <w:keepLines/>
        <w:spacing w:before="200" w:line="240" w:lineRule="auto"/>
        <w:ind w:left="792"/>
        <w:outlineLvl w:val="1"/>
        <w:rPr>
          <w:rFonts w:ascii="Cambria" w:hAnsi="Cambria" w:cs="Times New Roman"/>
          <w:color w:val="4F81BD"/>
          <w:sz w:val="26"/>
          <w:lang w:val="en-GB"/>
        </w:rPr>
      </w:pPr>
    </w:p>
    <w:p w14:paraId="583CF49C" w14:textId="5318897C" w:rsidR="00C32CFB" w:rsidRDefault="0047653F" w:rsidP="005F46EB">
      <w:pPr>
        <w:pStyle w:val="Heading2"/>
        <w:numPr>
          <w:ilvl w:val="1"/>
          <w:numId w:val="17"/>
        </w:numPr>
        <w:spacing w:after="200"/>
        <w:rPr>
          <w:lang w:val="en-GB"/>
        </w:rPr>
      </w:pPr>
      <w:bookmarkStart w:id="321" w:name="_Toc533261877"/>
      <w:r>
        <w:rPr>
          <w:lang w:val="en-GB"/>
        </w:rPr>
        <w:t xml:space="preserve">Deliverable 4 - Governance </w:t>
      </w:r>
      <w:r w:rsidR="0037405B">
        <w:rPr>
          <w:lang w:val="en-GB"/>
        </w:rPr>
        <w:t>&amp; interoperability over time</w:t>
      </w:r>
      <w:bookmarkEnd w:id="321"/>
    </w:p>
    <w:p w14:paraId="04F679DE" w14:textId="77777777" w:rsidR="008723E5" w:rsidRPr="0047653F" w:rsidRDefault="008723E5">
      <w:pPr>
        <w:rPr>
          <w:rFonts w:ascii="Times New Roman" w:hAnsi="Times New Roman"/>
          <w:color w:val="000000"/>
          <w:sz w:val="24"/>
          <w:lang w:val="en-GB"/>
        </w:rPr>
      </w:pPr>
    </w:p>
    <w:bookmarkEnd w:id="187"/>
    <w:bookmarkEnd w:id="188"/>
    <w:bookmarkEnd w:id="189"/>
    <w:bookmarkEnd w:id="190"/>
    <w:p w14:paraId="2BCA7E3E" w14:textId="09548086" w:rsidR="005F46EB" w:rsidRDefault="00147DAD" w:rsidP="005F46EB">
      <w:pPr>
        <w:pStyle w:val="Heading1"/>
        <w:numPr>
          <w:ilvl w:val="0"/>
          <w:numId w:val="16"/>
        </w:numPr>
        <w:spacing w:before="0" w:after="200"/>
        <w:rPr>
          <w:lang w:val="en-GB"/>
        </w:rPr>
      </w:pPr>
      <w:r>
        <w:rPr>
          <w:lang w:val="en-GB"/>
        </w:rPr>
        <w:br w:type="page"/>
      </w:r>
      <w:bookmarkStart w:id="322" w:name="_Toc533261878"/>
      <w:r w:rsidR="000B032D">
        <w:rPr>
          <w:lang w:val="en-GB"/>
        </w:rPr>
        <w:lastRenderedPageBreak/>
        <w:t xml:space="preserve">Deliverables </w:t>
      </w:r>
      <w:r w:rsidR="007E3DFA">
        <w:rPr>
          <w:lang w:val="en-GB"/>
        </w:rPr>
        <w:t xml:space="preserve">and supporting material </w:t>
      </w:r>
      <w:r w:rsidR="000B032D">
        <w:rPr>
          <w:lang w:val="en-GB"/>
        </w:rPr>
        <w:t>regarding the</w:t>
      </w:r>
      <w:r w:rsidR="005F46EB">
        <w:rPr>
          <w:lang w:val="en-GB"/>
        </w:rPr>
        <w:t xml:space="preserve"> </w:t>
      </w:r>
      <w:r w:rsidR="000B032D">
        <w:rPr>
          <w:lang w:val="en-GB"/>
        </w:rPr>
        <w:t>billing</w:t>
      </w:r>
      <w:r w:rsidR="005F46EB">
        <w:rPr>
          <w:lang w:val="en-GB"/>
        </w:rPr>
        <w:t xml:space="preserve"> process</w:t>
      </w:r>
      <w:bookmarkEnd w:id="322"/>
    </w:p>
    <w:p w14:paraId="1259DB74" w14:textId="5AE16186" w:rsidR="005F46EB" w:rsidRDefault="005F46EB" w:rsidP="001C5690">
      <w:pPr>
        <w:pStyle w:val="Heading2"/>
        <w:numPr>
          <w:ilvl w:val="1"/>
          <w:numId w:val="20"/>
        </w:numPr>
        <w:spacing w:after="200"/>
        <w:rPr>
          <w:lang w:val="en-GB"/>
        </w:rPr>
      </w:pPr>
      <w:bookmarkStart w:id="323" w:name="_Toc533261879"/>
      <w:r>
        <w:rPr>
          <w:lang w:val="en-GB"/>
        </w:rPr>
        <w:t>Heading 2</w:t>
      </w:r>
      <w:bookmarkEnd w:id="323"/>
    </w:p>
    <w:p w14:paraId="13673A52" w14:textId="77777777" w:rsidR="001C5690" w:rsidRPr="001C5690" w:rsidRDefault="001C5690" w:rsidP="001C5690">
      <w:pPr>
        <w:rPr>
          <w:lang w:val="en-GB"/>
        </w:rPr>
      </w:pPr>
    </w:p>
    <w:p w14:paraId="1B059012" w14:textId="77777777" w:rsidR="001C5690" w:rsidRDefault="001C5690" w:rsidP="001C5690">
      <w:pPr>
        <w:pStyle w:val="Heading2"/>
        <w:numPr>
          <w:ilvl w:val="1"/>
          <w:numId w:val="20"/>
        </w:numPr>
        <w:spacing w:after="200"/>
        <w:rPr>
          <w:lang w:val="en-GB"/>
        </w:rPr>
      </w:pPr>
      <w:bookmarkStart w:id="324" w:name="_Toc533261880"/>
      <w:r>
        <w:rPr>
          <w:lang w:val="en-GB"/>
        </w:rPr>
        <w:t>Heading 2</w:t>
      </w:r>
      <w:bookmarkEnd w:id="324"/>
    </w:p>
    <w:p w14:paraId="54F3AE56" w14:textId="77777777" w:rsidR="005F46EB" w:rsidRPr="00C32CFB" w:rsidRDefault="005F46EB" w:rsidP="005F46EB">
      <w:pPr>
        <w:rPr>
          <w:lang w:val="en-GB"/>
        </w:rPr>
      </w:pPr>
    </w:p>
    <w:p w14:paraId="56D43686" w14:textId="77777777" w:rsidR="001C5690" w:rsidRDefault="001C5690" w:rsidP="001C5690">
      <w:pPr>
        <w:pStyle w:val="Heading2"/>
        <w:numPr>
          <w:ilvl w:val="1"/>
          <w:numId w:val="20"/>
        </w:numPr>
        <w:spacing w:after="200"/>
        <w:rPr>
          <w:lang w:val="en-GB"/>
        </w:rPr>
      </w:pPr>
      <w:bookmarkStart w:id="325" w:name="_Toc533261881"/>
      <w:r>
        <w:rPr>
          <w:lang w:val="en-GB"/>
        </w:rPr>
        <w:t>Heading 2</w:t>
      </w:r>
      <w:bookmarkEnd w:id="325"/>
    </w:p>
    <w:p w14:paraId="47A143AD" w14:textId="45010880" w:rsidR="00632334" w:rsidRDefault="00632334">
      <w:pPr>
        <w:jc w:val="both"/>
        <w:rPr>
          <w:lang w:val="en-GB"/>
        </w:rPr>
      </w:pPr>
    </w:p>
    <w:p w14:paraId="53AFEBC4" w14:textId="1B12433A" w:rsidR="000B032D" w:rsidRDefault="000B032D">
      <w:pPr>
        <w:spacing w:after="0" w:line="240" w:lineRule="auto"/>
        <w:rPr>
          <w:lang w:val="en-GB"/>
        </w:rPr>
      </w:pPr>
      <w:r>
        <w:rPr>
          <w:lang w:val="en-GB"/>
        </w:rPr>
        <w:br w:type="page"/>
      </w:r>
    </w:p>
    <w:p w14:paraId="7B06C7CB" w14:textId="07536C92" w:rsidR="000B032D" w:rsidRDefault="000B032D" w:rsidP="000B032D">
      <w:pPr>
        <w:pStyle w:val="Heading1"/>
        <w:numPr>
          <w:ilvl w:val="0"/>
          <w:numId w:val="16"/>
        </w:numPr>
        <w:spacing w:before="0" w:after="200"/>
        <w:rPr>
          <w:lang w:val="en-GB"/>
        </w:rPr>
      </w:pPr>
      <w:bookmarkStart w:id="326" w:name="_Toc533261882"/>
      <w:r>
        <w:rPr>
          <w:lang w:val="en-GB"/>
        </w:rPr>
        <w:lastRenderedPageBreak/>
        <w:t xml:space="preserve">Deliverables </w:t>
      </w:r>
      <w:r w:rsidR="007E3DFA">
        <w:rPr>
          <w:lang w:val="en-GB"/>
        </w:rPr>
        <w:t xml:space="preserve">and supporting material </w:t>
      </w:r>
      <w:r>
        <w:rPr>
          <w:lang w:val="en-GB"/>
        </w:rPr>
        <w:t xml:space="preserve">regarding the </w:t>
      </w:r>
      <w:r w:rsidR="002850A1">
        <w:rPr>
          <w:lang w:val="en-GB"/>
        </w:rPr>
        <w:t>change of supplier</w:t>
      </w:r>
      <w:r>
        <w:rPr>
          <w:lang w:val="en-GB"/>
        </w:rPr>
        <w:t xml:space="preserve"> process</w:t>
      </w:r>
      <w:bookmarkEnd w:id="326"/>
    </w:p>
    <w:p w14:paraId="4E2BA80A" w14:textId="77777777" w:rsidR="000B032D" w:rsidRDefault="000B032D" w:rsidP="000B032D">
      <w:pPr>
        <w:pStyle w:val="Heading2"/>
        <w:numPr>
          <w:ilvl w:val="1"/>
          <w:numId w:val="22"/>
        </w:numPr>
        <w:spacing w:after="200"/>
        <w:rPr>
          <w:lang w:val="en-GB"/>
        </w:rPr>
      </w:pPr>
      <w:bookmarkStart w:id="327" w:name="_Toc533261883"/>
      <w:r>
        <w:rPr>
          <w:lang w:val="en-GB"/>
        </w:rPr>
        <w:t>Heading 2</w:t>
      </w:r>
      <w:bookmarkEnd w:id="327"/>
    </w:p>
    <w:p w14:paraId="7BDA53AF" w14:textId="77777777" w:rsidR="000B032D" w:rsidRPr="001C5690" w:rsidRDefault="000B032D" w:rsidP="000B032D">
      <w:pPr>
        <w:rPr>
          <w:lang w:val="en-GB"/>
        </w:rPr>
      </w:pPr>
    </w:p>
    <w:p w14:paraId="5BDBAD49" w14:textId="77777777" w:rsidR="000B032D" w:rsidRDefault="000B032D" w:rsidP="000B032D">
      <w:pPr>
        <w:pStyle w:val="Heading2"/>
        <w:numPr>
          <w:ilvl w:val="1"/>
          <w:numId w:val="22"/>
        </w:numPr>
        <w:spacing w:after="200"/>
        <w:rPr>
          <w:lang w:val="en-GB"/>
        </w:rPr>
      </w:pPr>
      <w:bookmarkStart w:id="328" w:name="_Toc533261884"/>
      <w:r>
        <w:rPr>
          <w:lang w:val="en-GB"/>
        </w:rPr>
        <w:t>Heading 2</w:t>
      </w:r>
      <w:bookmarkEnd w:id="328"/>
    </w:p>
    <w:p w14:paraId="21EC4E26" w14:textId="77777777" w:rsidR="000B032D" w:rsidRPr="00C32CFB" w:rsidRDefault="000B032D" w:rsidP="000B032D">
      <w:pPr>
        <w:rPr>
          <w:lang w:val="en-GB"/>
        </w:rPr>
      </w:pPr>
    </w:p>
    <w:p w14:paraId="56606FD8" w14:textId="77777777" w:rsidR="000B032D" w:rsidRDefault="000B032D" w:rsidP="000B032D">
      <w:pPr>
        <w:pStyle w:val="Heading2"/>
        <w:numPr>
          <w:ilvl w:val="1"/>
          <w:numId w:val="22"/>
        </w:numPr>
        <w:spacing w:after="200"/>
        <w:rPr>
          <w:lang w:val="en-GB"/>
        </w:rPr>
      </w:pPr>
      <w:bookmarkStart w:id="329" w:name="_Toc533261885"/>
      <w:r>
        <w:rPr>
          <w:lang w:val="en-GB"/>
        </w:rPr>
        <w:t>Heading 2</w:t>
      </w:r>
      <w:bookmarkEnd w:id="329"/>
    </w:p>
    <w:p w14:paraId="126A29C6" w14:textId="0D0CEC6B" w:rsidR="000B032D" w:rsidRDefault="000B032D">
      <w:pPr>
        <w:jc w:val="both"/>
        <w:rPr>
          <w:lang w:val="en-GB"/>
        </w:rPr>
      </w:pPr>
    </w:p>
    <w:p w14:paraId="43D66D2F" w14:textId="0A017E72" w:rsidR="000B032D" w:rsidRDefault="000B032D">
      <w:pPr>
        <w:spacing w:after="0" w:line="240" w:lineRule="auto"/>
        <w:rPr>
          <w:lang w:val="en-GB"/>
        </w:rPr>
      </w:pPr>
      <w:r>
        <w:rPr>
          <w:lang w:val="en-GB"/>
        </w:rPr>
        <w:br w:type="page"/>
      </w:r>
    </w:p>
    <w:p w14:paraId="765CA2AB" w14:textId="77777777" w:rsidR="000B032D" w:rsidRDefault="000B032D">
      <w:pPr>
        <w:jc w:val="both"/>
        <w:rPr>
          <w:lang w:val="en-GB"/>
        </w:rPr>
      </w:pPr>
    </w:p>
    <w:p w14:paraId="07FC53F9" w14:textId="1069EC56" w:rsidR="000B032D" w:rsidRDefault="000B032D" w:rsidP="000B032D">
      <w:pPr>
        <w:pStyle w:val="Heading1"/>
        <w:numPr>
          <w:ilvl w:val="0"/>
          <w:numId w:val="16"/>
        </w:numPr>
        <w:spacing w:before="0" w:after="200"/>
        <w:rPr>
          <w:lang w:val="en-GB"/>
        </w:rPr>
      </w:pPr>
      <w:bookmarkStart w:id="330" w:name="_Toc533261886"/>
      <w:r>
        <w:rPr>
          <w:lang w:val="en-GB"/>
        </w:rPr>
        <w:t xml:space="preserve">Deliverables </w:t>
      </w:r>
      <w:r w:rsidR="007E3DFA">
        <w:rPr>
          <w:lang w:val="en-GB"/>
        </w:rPr>
        <w:t xml:space="preserve">and supporting material </w:t>
      </w:r>
      <w:r>
        <w:rPr>
          <w:lang w:val="en-GB"/>
        </w:rPr>
        <w:t>regarding emerging services</w:t>
      </w:r>
      <w:bookmarkEnd w:id="330"/>
    </w:p>
    <w:p w14:paraId="762E265C" w14:textId="77777777" w:rsidR="000B032D" w:rsidRDefault="000B032D" w:rsidP="000B032D">
      <w:pPr>
        <w:pStyle w:val="Heading2"/>
        <w:numPr>
          <w:ilvl w:val="1"/>
          <w:numId w:val="24"/>
        </w:numPr>
        <w:spacing w:after="200"/>
        <w:rPr>
          <w:lang w:val="en-GB"/>
        </w:rPr>
      </w:pPr>
      <w:bookmarkStart w:id="331" w:name="_Toc533261887"/>
      <w:r>
        <w:rPr>
          <w:lang w:val="en-GB"/>
        </w:rPr>
        <w:t>Heading 2</w:t>
      </w:r>
      <w:bookmarkEnd w:id="331"/>
    </w:p>
    <w:p w14:paraId="63828C62" w14:textId="77777777" w:rsidR="000B032D" w:rsidRPr="001C5690" w:rsidRDefault="000B032D" w:rsidP="000B032D">
      <w:pPr>
        <w:rPr>
          <w:lang w:val="en-GB"/>
        </w:rPr>
      </w:pPr>
    </w:p>
    <w:p w14:paraId="22507A46" w14:textId="77777777" w:rsidR="000B032D" w:rsidRDefault="000B032D" w:rsidP="000B032D">
      <w:pPr>
        <w:pStyle w:val="Heading2"/>
        <w:numPr>
          <w:ilvl w:val="1"/>
          <w:numId w:val="24"/>
        </w:numPr>
        <w:spacing w:after="200"/>
        <w:rPr>
          <w:lang w:val="en-GB"/>
        </w:rPr>
      </w:pPr>
      <w:bookmarkStart w:id="332" w:name="_Toc533261888"/>
      <w:r>
        <w:rPr>
          <w:lang w:val="en-GB"/>
        </w:rPr>
        <w:t>Heading 2</w:t>
      </w:r>
      <w:bookmarkEnd w:id="332"/>
    </w:p>
    <w:p w14:paraId="046F8DC6" w14:textId="77777777" w:rsidR="000B032D" w:rsidRPr="00C32CFB" w:rsidRDefault="000B032D" w:rsidP="000B032D">
      <w:pPr>
        <w:rPr>
          <w:lang w:val="en-GB"/>
        </w:rPr>
      </w:pPr>
    </w:p>
    <w:p w14:paraId="469E9D33" w14:textId="77777777" w:rsidR="000B032D" w:rsidRDefault="000B032D" w:rsidP="000B032D">
      <w:pPr>
        <w:pStyle w:val="Heading2"/>
        <w:numPr>
          <w:ilvl w:val="1"/>
          <w:numId w:val="24"/>
        </w:numPr>
        <w:spacing w:after="200"/>
        <w:rPr>
          <w:lang w:val="en-GB"/>
        </w:rPr>
      </w:pPr>
      <w:bookmarkStart w:id="333" w:name="_Toc533261889"/>
      <w:r>
        <w:rPr>
          <w:lang w:val="en-GB"/>
        </w:rPr>
        <w:t>Heading 2</w:t>
      </w:r>
      <w:bookmarkEnd w:id="174"/>
      <w:bookmarkEnd w:id="175"/>
      <w:bookmarkEnd w:id="176"/>
      <w:bookmarkEnd w:id="177"/>
      <w:bookmarkEnd w:id="178"/>
      <w:bookmarkEnd w:id="179"/>
      <w:bookmarkEnd w:id="180"/>
      <w:bookmarkEnd w:id="181"/>
      <w:bookmarkEnd w:id="182"/>
      <w:bookmarkEnd w:id="183"/>
      <w:bookmarkEnd w:id="184"/>
      <w:bookmarkEnd w:id="185"/>
      <w:bookmarkEnd w:id="333"/>
    </w:p>
    <w:p w14:paraId="7F11789A" w14:textId="77777777" w:rsidR="000B032D" w:rsidRDefault="000B032D">
      <w:pPr>
        <w:jc w:val="both"/>
        <w:rPr>
          <w:lang w:val="en-GB"/>
        </w:rPr>
      </w:pPr>
    </w:p>
    <w:sectPr w:rsidR="000B032D" w:rsidSect="004E0B5B">
      <w:headerReference w:type="default" r:id="rId28"/>
      <w:footerReference w:type="default" r:id="rId29"/>
      <w:headerReference w:type="first" r:id="rId30"/>
      <w:pgSz w:w="11906" w:h="16838"/>
      <w:pgMar w:top="1418" w:right="1276" w:bottom="1418" w:left="1134" w:header="709" w:footer="431"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6" w:author="MONTAGNE Jean-francois" w:date="2018-12-22T16:17:00Z" w:initials="MJ">
    <w:p w14:paraId="779A0D8F" w14:textId="77777777" w:rsidR="00F1180F" w:rsidRPr="000D6F12" w:rsidRDefault="00F1180F" w:rsidP="00C95578">
      <w:pPr>
        <w:pStyle w:val="CommentText"/>
        <w:rPr>
          <w:lang w:val="en-GB"/>
        </w:rPr>
      </w:pPr>
      <w:r>
        <w:rPr>
          <w:rStyle w:val="CommentReference"/>
        </w:rPr>
        <w:annotationRef/>
      </w:r>
      <w:r w:rsidRPr="000D6F12">
        <w:rPr>
          <w:lang w:val="en-GB"/>
        </w:rPr>
        <w:t>This figure will be updated</w:t>
      </w:r>
    </w:p>
  </w:comment>
  <w:comment w:id="303" w:author="MONTAGNE Jean-francois" w:date="2018-12-22T16:18:00Z" w:initials="MJ">
    <w:p w14:paraId="7CA8F94F" w14:textId="77777777" w:rsidR="00F1180F" w:rsidRPr="000D6F12" w:rsidRDefault="00F1180F" w:rsidP="00C95578">
      <w:pPr>
        <w:pStyle w:val="CommentText"/>
        <w:rPr>
          <w:lang w:val="en-GB"/>
        </w:rPr>
      </w:pPr>
      <w:r w:rsidRPr="000D6F12">
        <w:rPr>
          <w:lang w:val="en-GB"/>
        </w:rPr>
        <w:t xml:space="preserve">This part will </w:t>
      </w:r>
      <w:r>
        <w:rPr>
          <w:rStyle w:val="CommentReference"/>
        </w:rPr>
        <w:annotationRef/>
      </w:r>
      <w:r w:rsidRPr="000D6F12">
        <w:rPr>
          <w:lang w:val="en-GB"/>
        </w:rPr>
        <w:t xml:space="preserve"> be updated (roles/naming)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9A0D8F" w15:done="0"/>
  <w15:commentEx w15:paraId="7CA8F9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9A0D8F" w16cid:durableId="1FD86106"/>
  <w16cid:commentId w16cid:paraId="7CA8F94F" w16cid:durableId="1FD861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94E83" w14:textId="77777777" w:rsidR="00786F7B" w:rsidRDefault="00786F7B">
      <w:pPr>
        <w:spacing w:after="0" w:line="240" w:lineRule="auto"/>
      </w:pPr>
      <w:r>
        <w:separator/>
      </w:r>
    </w:p>
  </w:endnote>
  <w:endnote w:type="continuationSeparator" w:id="0">
    <w:p w14:paraId="41B91A8F" w14:textId="77777777" w:rsidR="00786F7B" w:rsidRDefault="00786F7B">
      <w:pPr>
        <w:spacing w:after="0" w:line="240" w:lineRule="auto"/>
      </w:pPr>
      <w:r>
        <w:continuationSeparator/>
      </w:r>
    </w:p>
  </w:endnote>
  <w:endnote w:type="continuationNotice" w:id="1">
    <w:p w14:paraId="37AFF509" w14:textId="77777777" w:rsidR="00786F7B" w:rsidRDefault="00786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6B0D" w14:textId="20207028" w:rsidR="00F1180F" w:rsidRDefault="00F1180F">
    <w:pPr>
      <w:pStyle w:val="Footer"/>
      <w:jc w:val="right"/>
    </w:pPr>
    <w:r>
      <w:fldChar w:fldCharType="begin"/>
    </w:r>
    <w:r>
      <w:instrText xml:space="preserve"> PAGE   \* MERGEFORMAT </w:instrText>
    </w:r>
    <w:r>
      <w:fldChar w:fldCharType="separate"/>
    </w:r>
    <w:r w:rsidR="002850A1">
      <w:rPr>
        <w:noProof/>
      </w:rPr>
      <w:t>4</w:t>
    </w:r>
    <w:r>
      <w:fldChar w:fldCharType="end"/>
    </w:r>
  </w:p>
  <w:p w14:paraId="0B4DAE1D" w14:textId="77777777" w:rsidR="00F1180F" w:rsidRDefault="00F11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67B4C" w14:textId="77777777" w:rsidR="00786F7B" w:rsidRDefault="00786F7B">
      <w:pPr>
        <w:spacing w:after="0" w:line="240" w:lineRule="auto"/>
      </w:pPr>
      <w:r>
        <w:rPr>
          <w:color w:val="000000"/>
        </w:rPr>
        <w:separator/>
      </w:r>
    </w:p>
  </w:footnote>
  <w:footnote w:type="continuationSeparator" w:id="0">
    <w:p w14:paraId="1D4114FA" w14:textId="77777777" w:rsidR="00786F7B" w:rsidRDefault="00786F7B">
      <w:pPr>
        <w:spacing w:after="0" w:line="240" w:lineRule="auto"/>
      </w:pPr>
      <w:r>
        <w:continuationSeparator/>
      </w:r>
    </w:p>
  </w:footnote>
  <w:footnote w:type="continuationNotice" w:id="1">
    <w:p w14:paraId="62977B2C" w14:textId="77777777" w:rsidR="00786F7B" w:rsidRDefault="00786F7B">
      <w:pPr>
        <w:spacing w:after="0" w:line="240" w:lineRule="auto"/>
      </w:pPr>
    </w:p>
  </w:footnote>
  <w:footnote w:id="2">
    <w:p w14:paraId="548CBC4E" w14:textId="77777777" w:rsidR="00F1180F" w:rsidRDefault="00F1180F">
      <w:pPr>
        <w:pStyle w:val="FootnoteText"/>
        <w:rPr>
          <w:lang w:val="en-GB"/>
        </w:rPr>
      </w:pPr>
      <w:r>
        <w:rPr>
          <w:rStyle w:val="FootnoteReference"/>
        </w:rPr>
        <w:footnoteRef/>
      </w:r>
      <w:r>
        <w:rPr>
          <w:lang w:val="en-GB"/>
        </w:rPr>
        <w:t xml:space="preserve"> Clean Energy Package: </w:t>
      </w:r>
      <w:hyperlink r:id="rId1" w:history="1">
        <w:r>
          <w:rPr>
            <w:rStyle w:val="Hyperlink"/>
            <w:lang w:val="en-GB"/>
          </w:rPr>
          <w:t>https://ec.europa.eu/energy/en/news/commission-proposes-new-rules-consumer-centred-clean-energy-transition</w:t>
        </w:r>
      </w:hyperlink>
      <w:r>
        <w:rPr>
          <w:lang w:val="en-GB"/>
        </w:rPr>
        <w:t xml:space="preserve"> ; most relevant to this work is the recast Electricity Directive COM/2016/0864/final/2 and its Articles 23 and 24.</w:t>
      </w:r>
    </w:p>
  </w:footnote>
  <w:footnote w:id="3">
    <w:p w14:paraId="1FDA7BBA" w14:textId="7B201403" w:rsidR="00F1180F" w:rsidRPr="00463623" w:rsidRDefault="00F1180F">
      <w:pPr>
        <w:pStyle w:val="FootnoteText"/>
        <w:rPr>
          <w:lang w:val="en-GB"/>
        </w:rPr>
      </w:pPr>
      <w:r>
        <w:rPr>
          <w:rStyle w:val="FootnoteReference"/>
        </w:rPr>
        <w:footnoteRef/>
      </w:r>
      <w:r w:rsidRPr="00463623">
        <w:rPr>
          <w:lang w:val="en-GB"/>
        </w:rPr>
        <w:t xml:space="preserve"> Smart Grids Architecture Model: </w:t>
      </w:r>
      <w:hyperlink r:id="rId2" w:history="1">
        <w:r w:rsidRPr="00463623">
          <w:rPr>
            <w:rStyle w:val="Hyperlink"/>
            <w:lang w:val="en-GB"/>
          </w:rPr>
          <w:t>https://ec.europa.eu/energy/sites/ener/files/documents/xpert_group1_reference_architecture.pdf</w:t>
        </w:r>
      </w:hyperlink>
      <w:r w:rsidRPr="00463623">
        <w:rPr>
          <w:lang w:val="en-GB"/>
        </w:rPr>
        <w:t xml:space="preserve"> </w:t>
      </w:r>
    </w:p>
  </w:footnote>
  <w:footnote w:id="4">
    <w:p w14:paraId="5DD336D8" w14:textId="677DE3CD" w:rsidR="00F1180F" w:rsidRPr="00D61107" w:rsidRDefault="00F1180F">
      <w:pPr>
        <w:pStyle w:val="FootnoteText"/>
        <w:rPr>
          <w:lang w:val="en-GB"/>
        </w:rPr>
      </w:pPr>
      <w:r>
        <w:rPr>
          <w:rStyle w:val="FootnoteReference"/>
        </w:rPr>
        <w:footnoteRef/>
      </w:r>
      <w:r w:rsidRPr="00D61107">
        <w:rPr>
          <w:lang w:val="en-GB"/>
        </w:rPr>
        <w:t xml:space="preserve"> </w:t>
      </w:r>
      <w:r>
        <w:rPr>
          <w:lang w:val="en-GB"/>
        </w:rPr>
        <w:t xml:space="preserve">Harmonised Electricity Role Model: </w:t>
      </w:r>
      <w:hyperlink r:id="rId3" w:history="1">
        <w:r w:rsidRPr="00BD5E38">
          <w:rPr>
            <w:rStyle w:val="Hyperlink"/>
            <w:lang w:val="en-GB"/>
          </w:rPr>
          <w:t>https://www.entsoe.eu/digital/cim/role-models/</w:t>
        </w:r>
      </w:hyperlink>
      <w:r>
        <w:rPr>
          <w:lang w:val="en-GB"/>
        </w:rPr>
        <w:t xml:space="preserve"> </w:t>
      </w:r>
    </w:p>
  </w:footnote>
  <w:footnote w:id="5">
    <w:p w14:paraId="58156F5F" w14:textId="5FF2CCB3" w:rsidR="00F1180F" w:rsidRPr="006A72F3" w:rsidRDefault="00F1180F">
      <w:pPr>
        <w:pStyle w:val="FootnoteText"/>
        <w:rPr>
          <w:lang w:val="en-GB"/>
        </w:rPr>
      </w:pPr>
      <w:r>
        <w:rPr>
          <w:rStyle w:val="FootnoteReference"/>
        </w:rPr>
        <w:footnoteRef/>
      </w:r>
      <w:r w:rsidRPr="006A72F3">
        <w:rPr>
          <w:lang w:val="en-GB"/>
        </w:rPr>
        <w:t xml:space="preserve"> </w:t>
      </w:r>
      <w:r>
        <w:rPr>
          <w:lang w:val="en-GB"/>
        </w:rPr>
        <w:t xml:space="preserve">Common Information Model: </w:t>
      </w:r>
      <w:hyperlink r:id="rId4" w:history="1">
        <w:r w:rsidRPr="00BD5E38">
          <w:rPr>
            <w:rStyle w:val="Hyperlink"/>
            <w:lang w:val="en-GB"/>
          </w:rPr>
          <w:t>https://www.entsoe.eu/digital/cim/</w:t>
        </w:r>
      </w:hyperlink>
      <w:r>
        <w:rPr>
          <w:lang w:val="en-GB"/>
        </w:rPr>
        <w:t xml:space="preserve"> </w:t>
      </w:r>
    </w:p>
  </w:footnote>
  <w:footnote w:id="6">
    <w:p w14:paraId="6B957096" w14:textId="38C93FAF" w:rsidR="00F1180F" w:rsidRDefault="00F1180F">
      <w:pPr>
        <w:pStyle w:val="FootnoteText"/>
        <w:rPr>
          <w:lang w:val="en-GB"/>
        </w:rPr>
      </w:pPr>
      <w:r>
        <w:rPr>
          <w:rStyle w:val="FootnoteReference"/>
        </w:rPr>
        <w:footnoteRef/>
      </w:r>
      <w:r w:rsidRPr="000575A2">
        <w:rPr>
          <w:lang w:val="en-GB"/>
        </w:rPr>
        <w:t xml:space="preserve"> </w:t>
      </w:r>
      <w:r>
        <w:rPr>
          <w:lang w:val="en-GB"/>
        </w:rPr>
        <w:t xml:space="preserve">IEC TC 57 Power systems management and associated information exchange, WG 16 Deregulated energy market communications: </w:t>
      </w:r>
      <w:hyperlink r:id="rId5" w:history="1">
        <w:r w:rsidRPr="00BD5E38">
          <w:rPr>
            <w:rStyle w:val="Hyperlink"/>
            <w:lang w:val="en-GB"/>
          </w:rPr>
          <w:t>https://www.iec.ch/dyn/www/f?p=103:14:0::::FSP_ORG_ID:2388</w:t>
        </w:r>
      </w:hyperlink>
    </w:p>
    <w:p w14:paraId="67A6D171" w14:textId="77777777" w:rsidR="00F1180F" w:rsidRPr="000575A2" w:rsidRDefault="00F1180F">
      <w:pPr>
        <w:pStyle w:val="FootnoteText"/>
        <w:rPr>
          <w:lang w:val="en-GB"/>
        </w:rPr>
      </w:pPr>
    </w:p>
  </w:footnote>
  <w:footnote w:id="7">
    <w:p w14:paraId="0D169073" w14:textId="77777777" w:rsidR="00F1180F" w:rsidRPr="000D6F12" w:rsidRDefault="00F1180F" w:rsidP="00F2268F">
      <w:pPr>
        <w:pStyle w:val="FootnoteText"/>
        <w:rPr>
          <w:sz w:val="18"/>
          <w:lang w:val="en-GB"/>
        </w:rPr>
      </w:pPr>
      <w:r>
        <w:rPr>
          <w:rStyle w:val="FootnoteReference"/>
        </w:rPr>
        <w:footnoteRef/>
      </w:r>
      <w:r w:rsidRPr="000D6F12">
        <w:rPr>
          <w:lang w:val="en-GB"/>
        </w:rPr>
        <w:t xml:space="preserve"> </w:t>
      </w:r>
      <w:r w:rsidRPr="00660DE4">
        <w:rPr>
          <w:lang w:val="en-GB"/>
        </w:rPr>
        <w:t>The harmonized electricity market role model v2017-01</w:t>
      </w:r>
      <w:r>
        <w:rPr>
          <w:lang w:val="en-GB"/>
        </w:rPr>
        <w:t xml:space="preserve"> </w:t>
      </w:r>
      <w:r>
        <w:rPr>
          <w:lang w:val="en-GB"/>
        </w:rPr>
        <w:br/>
      </w:r>
      <w:r w:rsidRPr="00715216">
        <w:rPr>
          <w:sz w:val="18"/>
          <w:lang w:val="en-GB"/>
        </w:rPr>
        <w:t>https://docstore.entsoe.eu/Documents/EDI/Library/HRM/Harmonised_Role_Model_2017-01.pdf</w:t>
      </w:r>
    </w:p>
  </w:footnote>
  <w:footnote w:id="8">
    <w:p w14:paraId="565CC504" w14:textId="77777777" w:rsidR="00F1180F" w:rsidRDefault="00F1180F" w:rsidP="005D5838">
      <w:pPr>
        <w:pStyle w:val="FootnoteText"/>
        <w:rPr>
          <w:lang w:val="en-GB"/>
        </w:rPr>
      </w:pPr>
      <w:r>
        <w:rPr>
          <w:rStyle w:val="FootnoteReference"/>
        </w:rPr>
        <w:footnoteRef/>
      </w:r>
      <w:r>
        <w:rPr>
          <w:lang w:val="en-GB"/>
        </w:rPr>
        <w:t xml:space="preserve"> Directive 2009/72/EC and Directive 2009/73/EC; point Annex I.1(h)</w:t>
      </w:r>
    </w:p>
  </w:footnote>
  <w:footnote w:id="9">
    <w:p w14:paraId="3FFF0BB6" w14:textId="77777777" w:rsidR="00F1180F" w:rsidRDefault="00F1180F" w:rsidP="005D5838">
      <w:pPr>
        <w:pStyle w:val="FootnoteText"/>
        <w:rPr>
          <w:lang w:val="en-GB"/>
        </w:rPr>
      </w:pPr>
      <w:r>
        <w:rPr>
          <w:rStyle w:val="FootnoteReference"/>
        </w:rPr>
        <w:footnoteRef/>
      </w:r>
      <w:r>
        <w:rPr>
          <w:lang w:val="en-GB"/>
        </w:rPr>
        <w:t xml:space="preserve"> Article 37(p) of the Electricity Directive, Article 41(q) of the Gas Directive.</w:t>
      </w:r>
    </w:p>
  </w:footnote>
  <w:footnote w:id="10">
    <w:p w14:paraId="3671161E" w14:textId="77777777" w:rsidR="00F1180F" w:rsidRDefault="00F1180F" w:rsidP="005D5838">
      <w:pPr>
        <w:pStyle w:val="FootnoteText"/>
        <w:rPr>
          <w:lang w:val="en-GB"/>
        </w:rPr>
      </w:pPr>
      <w:r>
        <w:rPr>
          <w:rStyle w:val="FootnoteReference"/>
        </w:rPr>
        <w:footnoteRef/>
      </w:r>
      <w:r>
        <w:rPr>
          <w:lang w:val="en-GB"/>
        </w:rPr>
        <w:t xml:space="preserve"> Cf. also Articles 9(2) and 10(2) of Directive 2012/27/EU (the Energy Efficiency Directive)</w:t>
      </w:r>
    </w:p>
  </w:footnote>
  <w:footnote w:id="11">
    <w:p w14:paraId="2B6A3DF0" w14:textId="77777777" w:rsidR="00F1180F" w:rsidRDefault="00F1180F" w:rsidP="005D5838">
      <w:pPr>
        <w:pStyle w:val="FootnoteText"/>
        <w:rPr>
          <w:lang w:val="en-GB"/>
        </w:rPr>
      </w:pPr>
      <w:r>
        <w:rPr>
          <w:rStyle w:val="FootnoteReference"/>
        </w:rPr>
        <w:footnoteRef/>
      </w:r>
      <w:r>
        <w:rPr>
          <w:lang w:val="en-GB"/>
        </w:rPr>
        <w:t xml:space="preserve"> General Data Protection Regulation (EU) 2016/679</w:t>
      </w:r>
    </w:p>
  </w:footnote>
  <w:footnote w:id="12">
    <w:p w14:paraId="25D6ED24" w14:textId="77777777" w:rsidR="00F1180F" w:rsidRDefault="00F1180F" w:rsidP="005D5838">
      <w:pPr>
        <w:pStyle w:val="FootnoteText"/>
        <w:rPr>
          <w:lang w:val="en-GB"/>
        </w:rPr>
      </w:pPr>
      <w:r>
        <w:rPr>
          <w:rStyle w:val="FootnoteReference"/>
        </w:rPr>
        <w:footnoteRef/>
      </w:r>
      <w:r w:rsidRPr="00B86011">
        <w:rPr>
          <w:lang w:val="en-GB"/>
        </w:rPr>
        <w:t xml:space="preserve"> </w:t>
      </w:r>
      <w:r>
        <w:rPr>
          <w:lang w:val="en-GB"/>
        </w:rPr>
        <w:t>The data concerned is that referenced in the respective legislation:</w:t>
      </w:r>
    </w:p>
    <w:p w14:paraId="41544676" w14:textId="77777777" w:rsidR="00F1180F" w:rsidRDefault="00F1180F" w:rsidP="005D5838">
      <w:pPr>
        <w:pStyle w:val="FootnoteText"/>
        <w:rPr>
          <w:lang w:val="en-GB"/>
        </w:rPr>
      </w:pPr>
      <w:r>
        <w:rPr>
          <w:lang w:val="en-GB"/>
        </w:rPr>
        <w:t>(</w:t>
      </w:r>
      <w:r>
        <w:rPr>
          <w:lang w:val="en-GB"/>
        </w:rPr>
        <w:t xml:space="preserve">i) </w:t>
      </w:r>
      <w:r>
        <w:rPr>
          <w:lang w:val="en-GB"/>
        </w:rPr>
        <w:t xml:space="preserve">in the Third Energy Package (Annex I.1(h)): "(ensure that customers) </w:t>
      </w:r>
      <w:r w:rsidRPr="00834212">
        <w:rPr>
          <w:lang w:val="en-GB"/>
        </w:rPr>
        <w:t xml:space="preserve">have at their disposal their </w:t>
      </w:r>
      <w:r w:rsidRPr="00834212">
        <w:rPr>
          <w:b/>
          <w:lang w:val="en-GB"/>
        </w:rPr>
        <w:t>consumption data</w:t>
      </w:r>
      <w:r w:rsidRPr="00834212">
        <w:rPr>
          <w:lang w:val="en-GB"/>
        </w:rPr>
        <w:t>, and shall be able to, by explicit agr</w:t>
      </w:r>
      <w:r>
        <w:rPr>
          <w:lang w:val="en-GB"/>
        </w:rPr>
        <w:t xml:space="preserve">eement and free of charge, give </w:t>
      </w:r>
      <w:r w:rsidRPr="00834212">
        <w:rPr>
          <w:lang w:val="en-GB"/>
        </w:rPr>
        <w:t xml:space="preserve">any registered supply undertaking access to its </w:t>
      </w:r>
      <w:r w:rsidRPr="00834212">
        <w:rPr>
          <w:b/>
          <w:lang w:val="en-GB"/>
        </w:rPr>
        <w:t>metering data</w:t>
      </w:r>
      <w:r w:rsidRPr="00834212">
        <w:rPr>
          <w:lang w:val="en-GB"/>
        </w:rPr>
        <w:t xml:space="preserve">. </w:t>
      </w:r>
      <w:r>
        <w:rPr>
          <w:lang w:val="en-GB"/>
        </w:rPr>
        <w:t>…</w:t>
      </w:r>
      <w:r w:rsidRPr="00834212">
        <w:rPr>
          <w:lang w:val="en-GB"/>
        </w:rPr>
        <w:t>;</w:t>
      </w:r>
      <w:r>
        <w:rPr>
          <w:lang w:val="en-GB"/>
        </w:rPr>
        <w:t xml:space="preserve">  "</w:t>
      </w:r>
    </w:p>
    <w:p w14:paraId="591FE22D" w14:textId="77777777" w:rsidR="00F1180F" w:rsidRPr="00834212" w:rsidRDefault="00F1180F" w:rsidP="005D5838">
      <w:pPr>
        <w:pStyle w:val="FootnoteText"/>
        <w:rPr>
          <w:lang w:val="en-GB"/>
        </w:rPr>
      </w:pPr>
      <w:r>
        <w:rPr>
          <w:lang w:val="en-GB"/>
        </w:rPr>
        <w:t>(ii) in the recast Electricity Directive COM(2016) 864 final/2 (Article 23(1)): "…</w:t>
      </w:r>
      <w:r w:rsidRPr="00834212">
        <w:rPr>
          <w:lang w:val="en-GB"/>
        </w:rPr>
        <w:t>For the purpose of this</w:t>
      </w:r>
    </w:p>
    <w:p w14:paraId="3734B2DD" w14:textId="77777777" w:rsidR="00F1180F" w:rsidRPr="00B86011" w:rsidRDefault="00F1180F" w:rsidP="005D5838">
      <w:pPr>
        <w:pStyle w:val="FootnoteText"/>
        <w:rPr>
          <w:lang w:val="en-GB"/>
        </w:rPr>
      </w:pPr>
      <w:r w:rsidRPr="00834212">
        <w:rPr>
          <w:lang w:val="en-GB"/>
        </w:rPr>
        <w:t xml:space="preserve">Directive, data shall include </w:t>
      </w:r>
      <w:r w:rsidRPr="00834212">
        <w:rPr>
          <w:b/>
          <w:lang w:val="en-GB"/>
        </w:rPr>
        <w:t>metering</w:t>
      </w:r>
      <w:r w:rsidRPr="00834212">
        <w:rPr>
          <w:lang w:val="en-GB"/>
        </w:rPr>
        <w:t xml:space="preserve"> and </w:t>
      </w:r>
      <w:r w:rsidRPr="00834212">
        <w:rPr>
          <w:b/>
          <w:lang w:val="en-GB"/>
        </w:rPr>
        <w:t>consumption data</w:t>
      </w:r>
      <w:r>
        <w:rPr>
          <w:lang w:val="en-GB"/>
        </w:rPr>
        <w:t xml:space="preserve"> as well as </w:t>
      </w:r>
      <w:r w:rsidRPr="00834212">
        <w:rPr>
          <w:b/>
          <w:lang w:val="en-GB"/>
        </w:rPr>
        <w:t>data required for consumer switching</w:t>
      </w:r>
      <w:r>
        <w:rPr>
          <w:lang w:val="en-GB"/>
        </w:rPr>
        <w:t>..</w:t>
      </w:r>
      <w:r w:rsidRPr="00834212">
        <w:rPr>
          <w:lang w:val="en-GB"/>
        </w:rPr>
        <w:t>.</w:t>
      </w:r>
      <w:r>
        <w:rPr>
          <w:lang w:val="en-GB"/>
        </w:rPr>
        <w:t xml:space="preserve">  "</w:t>
      </w:r>
    </w:p>
  </w:footnote>
  <w:footnote w:id="13">
    <w:p w14:paraId="5FBA0EF5" w14:textId="77777777" w:rsidR="00F1180F" w:rsidRDefault="00F1180F" w:rsidP="005D5838">
      <w:pPr>
        <w:pStyle w:val="FootnoteText"/>
        <w:rPr>
          <w:lang w:val="en-GB"/>
        </w:rPr>
      </w:pPr>
      <w:r>
        <w:rPr>
          <w:rStyle w:val="FootnoteReference"/>
        </w:rPr>
        <w:footnoteRef/>
      </w:r>
      <w:r>
        <w:rPr>
          <w:lang w:val="en-GB"/>
        </w:rPr>
        <w:t xml:space="preserve"> For the purpose of this document processes are understood to be implemented via procedures.</w:t>
      </w:r>
    </w:p>
  </w:footnote>
  <w:footnote w:id="14">
    <w:p w14:paraId="4218AE71" w14:textId="01A93AAC" w:rsidR="00F1180F" w:rsidRPr="000F5267" w:rsidRDefault="00F1180F">
      <w:pPr>
        <w:pStyle w:val="FootnoteText"/>
        <w:rPr>
          <w:lang w:val="en-GB"/>
        </w:rPr>
      </w:pPr>
      <w:r>
        <w:rPr>
          <w:rStyle w:val="FootnoteReference"/>
        </w:rPr>
        <w:footnoteRef/>
      </w:r>
      <w:r w:rsidRPr="000F5267">
        <w:rPr>
          <w:lang w:val="en-GB"/>
        </w:rPr>
        <w:t xml:space="preserve"> ASSET HORIZON 2020 project – Study no.4: “Format and procedures for electricity (and gas) data access and exchange in Member States”, March 2018; </w:t>
      </w:r>
      <w:hyperlink r:id="rId6" w:history="1">
        <w:r w:rsidRPr="000F5267">
          <w:rPr>
            <w:rStyle w:val="Hyperlink"/>
            <w:lang w:val="en-GB"/>
          </w:rPr>
          <w:t>https://asset.te-ded.com/home/advanced-system-studies/cluster-7/format-and-procedures-for-electricity-and-gas-data-access-and-exchange-in-member-states/</w:t>
        </w:r>
      </w:hyperlink>
      <w:r w:rsidRPr="000F5267">
        <w:rPr>
          <w:lang w:val="en-GB"/>
        </w:rPr>
        <w:t xml:space="preserve"> </w:t>
      </w:r>
    </w:p>
  </w:footnote>
  <w:footnote w:id="15">
    <w:p w14:paraId="60403B1D" w14:textId="77777777" w:rsidR="00F1180F" w:rsidRPr="00815537" w:rsidRDefault="00F1180F" w:rsidP="00C95578">
      <w:pPr>
        <w:pStyle w:val="FootnoteText"/>
        <w:rPr>
          <w:lang w:val="en-GB"/>
        </w:rPr>
      </w:pPr>
      <w:r>
        <w:rPr>
          <w:rStyle w:val="FootnoteReference"/>
        </w:rPr>
        <w:footnoteRef/>
      </w:r>
      <w:r w:rsidRPr="00815537">
        <w:rPr>
          <w:lang w:val="en-GB"/>
        </w:rPr>
        <w:t xml:space="preserve"> See the Declaration of </w:t>
      </w:r>
      <w:r w:rsidRPr="00815537">
        <w:rPr>
          <w:lang w:val="en-GB"/>
        </w:rPr>
        <w:t xml:space="preserve">MyData Principles: </w:t>
      </w:r>
      <w:hyperlink r:id="rId7" w:history="1">
        <w:r w:rsidRPr="00815537">
          <w:rPr>
            <w:rStyle w:val="Hyperlink"/>
            <w:lang w:val="en-GB"/>
          </w:rPr>
          <w:t>https://mydata.org/declaration/</w:t>
        </w:r>
      </w:hyperlink>
      <w:r w:rsidRPr="00815537">
        <w:rPr>
          <w:lang w:val="en-GB"/>
        </w:rPr>
        <w:t xml:space="preserve"> </w:t>
      </w:r>
    </w:p>
  </w:footnote>
  <w:footnote w:id="16">
    <w:p w14:paraId="4540F3FB" w14:textId="77777777" w:rsidR="00F1180F" w:rsidRPr="0087048C" w:rsidRDefault="00F1180F" w:rsidP="00C95578">
      <w:pPr>
        <w:pStyle w:val="FootnoteText"/>
        <w:jc w:val="both"/>
        <w:rPr>
          <w:lang w:val="en-GB"/>
        </w:rPr>
      </w:pPr>
      <w:r>
        <w:rPr>
          <w:rStyle w:val="FootnoteReference"/>
        </w:rPr>
        <w:footnoteRef/>
      </w:r>
      <w:r w:rsidRPr="0087048C">
        <w:rPr>
          <w:lang w:val="en-GB"/>
        </w:rPr>
        <w:t xml:space="preserve"> </w:t>
      </w:r>
      <w:r>
        <w:rPr>
          <w:lang w:val="en-GB"/>
        </w:rPr>
        <w:t xml:space="preserve">Tractebel report 2018 on Data format and procedures; the study constitutes one of the deliverables of the ASSET HORIZON 2020 project; </w:t>
      </w:r>
      <w:hyperlink r:id="rId8" w:history="1">
        <w:r w:rsidRPr="00803E92">
          <w:rPr>
            <w:rStyle w:val="Hyperlink"/>
            <w:lang w:val="en-GB"/>
          </w:rPr>
          <w:t>www.asset-ec.eu</w:t>
        </w:r>
      </w:hyperlink>
    </w:p>
  </w:footnote>
  <w:footnote w:id="17">
    <w:p w14:paraId="67DCB0AF" w14:textId="77777777" w:rsidR="00F1180F" w:rsidRPr="000D6F12" w:rsidRDefault="00F1180F" w:rsidP="00C95578">
      <w:pPr>
        <w:pStyle w:val="FootnoteText"/>
        <w:rPr>
          <w:lang w:val="en-GB"/>
        </w:rPr>
      </w:pPr>
      <w:r>
        <w:rPr>
          <w:rStyle w:val="FootnoteReference"/>
        </w:rPr>
        <w:footnoteRef/>
      </w:r>
      <w:r w:rsidRPr="000D6F12">
        <w:rPr>
          <w:lang w:val="en-GB"/>
        </w:rPr>
        <w:t xml:space="preserve"> </w:t>
      </w:r>
      <w:r>
        <w:rPr>
          <w:lang w:val="en-US"/>
        </w:rPr>
        <w:t>It has to be pointed-out that IEC CIM and DLMS-COSEM are recognized as key Smart grid standards by IEC TR 63097 “Smart Grid Standardization Roadmap” , and that they have been harmonized through IEC 62056-6-9 “</w:t>
      </w:r>
      <w:r w:rsidRPr="00D251D1">
        <w:rPr>
          <w:lang w:val="en-US"/>
        </w:rPr>
        <w:t>Mapping between the Common Information Model message profiles (IEC 61968-9) and DLMS/COSEM (IEC 62056) data models and protocols”</w:t>
      </w:r>
      <w:r>
        <w:rPr>
          <w:lang w:val="en-US"/>
        </w:rPr>
        <w:t>.</w:t>
      </w:r>
    </w:p>
  </w:footnote>
  <w:footnote w:id="18">
    <w:p w14:paraId="6C073084" w14:textId="77777777" w:rsidR="00F1180F" w:rsidRPr="00815537" w:rsidRDefault="00F1180F" w:rsidP="00C95578">
      <w:pPr>
        <w:pStyle w:val="FootnoteText"/>
        <w:rPr>
          <w:lang w:val="en-GB"/>
        </w:rPr>
      </w:pPr>
      <w:r>
        <w:rPr>
          <w:rStyle w:val="FootnoteReference"/>
        </w:rPr>
        <w:footnoteRef/>
      </w:r>
      <w:r w:rsidRPr="00815537">
        <w:rPr>
          <w:lang w:val="en-GB"/>
        </w:rPr>
        <w:t xml:space="preserve"> </w:t>
      </w:r>
      <w:r w:rsidRPr="004C1ED7">
        <w:rPr>
          <w:lang w:val="en-US"/>
        </w:rPr>
        <w:t>see EG1 M</w:t>
      </w:r>
      <w:r>
        <w:rPr>
          <w:lang w:val="en-US"/>
        </w:rPr>
        <w:t xml:space="preserve">y </w:t>
      </w:r>
      <w:r w:rsidRPr="004C1ED7">
        <w:rPr>
          <w:lang w:val="en-US"/>
        </w:rPr>
        <w:t>E</w:t>
      </w:r>
      <w:r>
        <w:rPr>
          <w:lang w:val="en-US"/>
        </w:rPr>
        <w:t xml:space="preserve">nergy </w:t>
      </w:r>
      <w:r w:rsidRPr="004C1ED7">
        <w:rPr>
          <w:lang w:val="en-US"/>
        </w:rPr>
        <w:t>D</w:t>
      </w:r>
      <w:r>
        <w:rPr>
          <w:lang w:val="en-US"/>
        </w:rPr>
        <w:t>ata</w:t>
      </w:r>
      <w:r w:rsidRPr="004C1ED7">
        <w:rPr>
          <w:lang w:val="en-US"/>
        </w:rPr>
        <w:t xml:space="preserve"> report</w:t>
      </w:r>
      <w:r>
        <w:rPr>
          <w:lang w:val="en-US"/>
        </w:rPr>
        <w:t xml:space="preserve"> for role description, based on GDPR roles &amp; SGTF / </w:t>
      </w:r>
      <w:r>
        <w:rPr>
          <w:lang w:val="en-US"/>
        </w:rPr>
        <w:t>Harmonised role models.</w:t>
      </w:r>
    </w:p>
  </w:footnote>
  <w:footnote w:id="19">
    <w:p w14:paraId="6ADD24AC" w14:textId="77777777" w:rsidR="00F1180F" w:rsidRPr="004F4092" w:rsidRDefault="00F1180F" w:rsidP="00C95578">
      <w:pPr>
        <w:pStyle w:val="FootnoteText"/>
        <w:rPr>
          <w:lang w:val="en-GB"/>
        </w:rPr>
      </w:pPr>
      <w:r>
        <w:rPr>
          <w:rStyle w:val="FootnoteReference"/>
        </w:rPr>
        <w:footnoteRef/>
      </w:r>
      <w:r w:rsidRPr="004F4092">
        <w:rPr>
          <w:lang w:val="en-GB"/>
        </w:rPr>
        <w:t xml:space="preserve"> </w:t>
      </w:r>
      <w:r w:rsidRPr="00660DE4">
        <w:rPr>
          <w:lang w:val="en-GB"/>
        </w:rPr>
        <w:t>The harmonized electricity market role model</w:t>
      </w:r>
      <w:r>
        <w:rPr>
          <w:lang w:val="en-GB"/>
        </w:rPr>
        <w:t xml:space="preserve">, </w:t>
      </w:r>
      <w:r w:rsidRPr="00660DE4">
        <w:rPr>
          <w:lang w:val="en-GB"/>
        </w:rPr>
        <w:t>v2017-01</w:t>
      </w:r>
    </w:p>
  </w:footnote>
  <w:footnote w:id="20">
    <w:p w14:paraId="40D4C9E7" w14:textId="77777777" w:rsidR="00F1180F" w:rsidRPr="00C22672" w:rsidRDefault="00F1180F" w:rsidP="00C95578">
      <w:pPr>
        <w:pStyle w:val="FootnoteText"/>
        <w:rPr>
          <w:lang w:val="en-GB"/>
        </w:rPr>
      </w:pPr>
      <w:r>
        <w:rPr>
          <w:rStyle w:val="FootnoteReference"/>
        </w:rPr>
        <w:footnoteRef/>
      </w:r>
      <w:r w:rsidRPr="00815537">
        <w:rPr>
          <w:lang w:val="en-GB"/>
        </w:rPr>
        <w:t xml:space="preserve"> </w:t>
      </w:r>
      <w:r w:rsidRPr="00660DE4">
        <w:rPr>
          <w:lang w:val="en-GB"/>
        </w:rPr>
        <w:t xml:space="preserve">My Energy Data Role Model from ESGTF – EG1 – My Energy Data </w:t>
      </w:r>
      <w:r>
        <w:rPr>
          <w:lang w:val="en-GB"/>
        </w:rPr>
        <w:t xml:space="preserve">interim </w:t>
      </w:r>
      <w:r w:rsidRPr="00660DE4">
        <w:rPr>
          <w:lang w:val="en-GB"/>
        </w:rPr>
        <w:t xml:space="preserve">report </w:t>
      </w:r>
      <w:r w:rsidRPr="00660DE4">
        <w:rPr>
          <w:lang w:val="en-GB"/>
        </w:rPr>
        <w:t>nov 2016</w:t>
      </w:r>
    </w:p>
  </w:footnote>
  <w:footnote w:id="21">
    <w:p w14:paraId="15A5ED40" w14:textId="77777777" w:rsidR="00F1180F" w:rsidRPr="000D6F12" w:rsidRDefault="00F1180F" w:rsidP="00C95578">
      <w:pPr>
        <w:pStyle w:val="FootnoteText"/>
        <w:rPr>
          <w:lang w:val="en-GB"/>
        </w:rPr>
      </w:pPr>
      <w:r>
        <w:rPr>
          <w:rStyle w:val="FootnoteReference"/>
        </w:rPr>
        <w:footnoteRef/>
      </w:r>
      <w:r w:rsidRPr="000D6F12">
        <w:rPr>
          <w:lang w:val="en-GB"/>
        </w:rPr>
        <w:t xml:space="preserve"> https://en.wikipedia.org/wiki/Common_Information_Model_(electricity)</w:t>
      </w:r>
    </w:p>
  </w:footnote>
  <w:footnote w:id="22">
    <w:p w14:paraId="173AEB5E" w14:textId="77777777" w:rsidR="00F1180F" w:rsidRDefault="00F1180F" w:rsidP="00087EDA">
      <w:pPr>
        <w:pStyle w:val="FootnoteText"/>
        <w:rPr>
          <w:lang w:val="en-GB"/>
        </w:rPr>
      </w:pPr>
      <w:r>
        <w:rPr>
          <w:rStyle w:val="FootnoteReference"/>
        </w:rPr>
        <w:footnoteRef/>
      </w:r>
      <w:r>
        <w:rPr>
          <w:lang w:val="en-GB"/>
        </w:rPr>
        <w:t xml:space="preserve"> Terms of Reference of the Working Group on Data Format and Procedures - https://ec.europa.eu/energy/sites/ener/files/documents/tor_eg1_wg_on_data_format_procedures.pdf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97B5" w14:textId="77777777" w:rsidR="00F1180F" w:rsidRDefault="00F11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0702A" w14:textId="77777777" w:rsidR="00F1180F" w:rsidRDefault="00F11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C5B"/>
    <w:multiLevelType w:val="multilevel"/>
    <w:tmpl w:val="F08E2D32"/>
    <w:lvl w:ilvl="0">
      <w:start w:val="1"/>
      <w:numFmt w:val="lowerRoman"/>
      <w:lvlText w:val="%1."/>
      <w:lvlJc w:val="righ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821D55"/>
    <w:multiLevelType w:val="multilevel"/>
    <w:tmpl w:val="D9C4F3FE"/>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AF17E1E"/>
    <w:multiLevelType w:val="multilevel"/>
    <w:tmpl w:val="0FBE6A0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593BB9"/>
    <w:multiLevelType w:val="multilevel"/>
    <w:tmpl w:val="0FBE6A02"/>
    <w:numStyleLink w:val="Style1"/>
  </w:abstractNum>
  <w:abstractNum w:abstractNumId="4" w15:restartNumberingAfterBreak="0">
    <w:nsid w:val="172F2CA6"/>
    <w:multiLevelType w:val="multilevel"/>
    <w:tmpl w:val="0FBE6A02"/>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D34B8C"/>
    <w:multiLevelType w:val="multilevel"/>
    <w:tmpl w:val="AE4296FE"/>
    <w:lvl w:ilvl="0">
      <w:start w:val="1"/>
      <w:numFmt w:val="decimal"/>
      <w:lvlText w:val="%1."/>
      <w:lvlJc w:val="left"/>
      <w:pPr>
        <w:ind w:left="360" w:hanging="360"/>
      </w:pPr>
      <w:rPr>
        <w:rFonts w:hint="default"/>
      </w:rPr>
    </w:lvl>
    <w:lvl w:ilvl="1">
      <w:start w:val="1"/>
      <w:numFmt w:val="decimal"/>
      <w:lvlText w:val="D.%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145016"/>
    <w:multiLevelType w:val="hybridMultilevel"/>
    <w:tmpl w:val="0A9A328E"/>
    <w:lvl w:ilvl="0" w:tplc="F64437AE">
      <w:start w:val="1"/>
      <w:numFmt w:val="bullet"/>
      <w:pStyle w:val="Listecouleur-Accent11"/>
      <w:lvlText w:val=""/>
      <w:lvlJc w:val="left"/>
      <w:pPr>
        <w:ind w:left="720" w:hanging="360"/>
      </w:pPr>
      <w:rPr>
        <w:rFonts w:ascii="Symbol" w:hAnsi="Symbol" w:hint="default"/>
      </w:rPr>
    </w:lvl>
    <w:lvl w:ilvl="1" w:tplc="6438439E">
      <w:start w:val="1"/>
      <w:numFmt w:val="bullet"/>
      <w:lvlText w:val="o"/>
      <w:lvlJc w:val="left"/>
      <w:pPr>
        <w:ind w:left="1440" w:hanging="360"/>
      </w:pPr>
      <w:rPr>
        <w:rFonts w:ascii="Courier New" w:hAnsi="Courier New" w:cs="Courier New" w:hint="default"/>
      </w:rPr>
    </w:lvl>
    <w:lvl w:ilvl="2" w:tplc="5F781CAA" w:tentative="1">
      <w:start w:val="1"/>
      <w:numFmt w:val="bullet"/>
      <w:lvlText w:val=""/>
      <w:lvlJc w:val="left"/>
      <w:pPr>
        <w:ind w:left="2160" w:hanging="360"/>
      </w:pPr>
      <w:rPr>
        <w:rFonts w:ascii="Wingdings" w:hAnsi="Wingdings" w:hint="default"/>
      </w:rPr>
    </w:lvl>
    <w:lvl w:ilvl="3" w:tplc="F7CAAE74" w:tentative="1">
      <w:start w:val="1"/>
      <w:numFmt w:val="bullet"/>
      <w:lvlText w:val=""/>
      <w:lvlJc w:val="left"/>
      <w:pPr>
        <w:ind w:left="2880" w:hanging="360"/>
      </w:pPr>
      <w:rPr>
        <w:rFonts w:ascii="Symbol" w:hAnsi="Symbol" w:hint="default"/>
      </w:rPr>
    </w:lvl>
    <w:lvl w:ilvl="4" w:tplc="064E5514" w:tentative="1">
      <w:start w:val="1"/>
      <w:numFmt w:val="bullet"/>
      <w:lvlText w:val="o"/>
      <w:lvlJc w:val="left"/>
      <w:pPr>
        <w:ind w:left="3600" w:hanging="360"/>
      </w:pPr>
      <w:rPr>
        <w:rFonts w:ascii="Courier New" w:hAnsi="Courier New" w:cs="Courier New" w:hint="default"/>
      </w:rPr>
    </w:lvl>
    <w:lvl w:ilvl="5" w:tplc="364EB514" w:tentative="1">
      <w:start w:val="1"/>
      <w:numFmt w:val="bullet"/>
      <w:lvlText w:val=""/>
      <w:lvlJc w:val="left"/>
      <w:pPr>
        <w:ind w:left="4320" w:hanging="360"/>
      </w:pPr>
      <w:rPr>
        <w:rFonts w:ascii="Wingdings" w:hAnsi="Wingdings" w:hint="default"/>
      </w:rPr>
    </w:lvl>
    <w:lvl w:ilvl="6" w:tplc="68A4DE08" w:tentative="1">
      <w:start w:val="1"/>
      <w:numFmt w:val="bullet"/>
      <w:lvlText w:val=""/>
      <w:lvlJc w:val="left"/>
      <w:pPr>
        <w:ind w:left="5040" w:hanging="360"/>
      </w:pPr>
      <w:rPr>
        <w:rFonts w:ascii="Symbol" w:hAnsi="Symbol" w:hint="default"/>
      </w:rPr>
    </w:lvl>
    <w:lvl w:ilvl="7" w:tplc="79646624" w:tentative="1">
      <w:start w:val="1"/>
      <w:numFmt w:val="bullet"/>
      <w:lvlText w:val="o"/>
      <w:lvlJc w:val="left"/>
      <w:pPr>
        <w:ind w:left="5760" w:hanging="360"/>
      </w:pPr>
      <w:rPr>
        <w:rFonts w:ascii="Courier New" w:hAnsi="Courier New" w:cs="Courier New" w:hint="default"/>
      </w:rPr>
    </w:lvl>
    <w:lvl w:ilvl="8" w:tplc="DECA8878" w:tentative="1">
      <w:start w:val="1"/>
      <w:numFmt w:val="bullet"/>
      <w:lvlText w:val=""/>
      <w:lvlJc w:val="left"/>
      <w:pPr>
        <w:ind w:left="6480" w:hanging="360"/>
      </w:pPr>
      <w:rPr>
        <w:rFonts w:ascii="Wingdings" w:hAnsi="Wingdings" w:hint="default"/>
      </w:rPr>
    </w:lvl>
  </w:abstractNum>
  <w:abstractNum w:abstractNumId="7" w15:restartNumberingAfterBreak="0">
    <w:nsid w:val="252B2A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C17F00"/>
    <w:multiLevelType w:val="multilevel"/>
    <w:tmpl w:val="47AE46C4"/>
    <w:lvl w:ilvl="0">
      <w:start w:val="1"/>
      <w:numFmt w:val="decimal"/>
      <w:lvlText w:val="%1."/>
      <w:lvlJc w:val="left"/>
      <w:pPr>
        <w:ind w:left="360" w:hanging="360"/>
      </w:pPr>
      <w:rPr>
        <w:rFonts w:hint="default"/>
      </w:rPr>
    </w:lvl>
    <w:lvl w:ilvl="1">
      <w:start w:val="1"/>
      <w:numFmt w:val="decimal"/>
      <w:lvlText w:val="C.%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CF3EDF"/>
    <w:multiLevelType w:val="multilevel"/>
    <w:tmpl w:val="84E0E5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2140B5"/>
    <w:multiLevelType w:val="multilevel"/>
    <w:tmpl w:val="B4BC19C8"/>
    <w:lvl w:ilvl="0">
      <w:start w:val="1"/>
      <w:numFmt w:val="decimal"/>
      <w:lvlText w:val="%1."/>
      <w:lvlJc w:val="left"/>
      <w:pPr>
        <w:ind w:left="360" w:hanging="360"/>
      </w:pPr>
      <w:rPr>
        <w:rFonts w:hint="default"/>
      </w:rPr>
    </w:lvl>
    <w:lvl w:ilvl="1">
      <w:start w:val="1"/>
      <w:numFmt w:val="decimal"/>
      <w:lvlText w:val="B.%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EF243E"/>
    <w:multiLevelType w:val="multilevel"/>
    <w:tmpl w:val="0FBE6A0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E90F17"/>
    <w:multiLevelType w:val="multilevel"/>
    <w:tmpl w:val="0FBE6A0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8E35A8"/>
    <w:multiLevelType w:val="hybridMultilevel"/>
    <w:tmpl w:val="26EEE2F6"/>
    <w:lvl w:ilvl="0" w:tplc="9ED4D154">
      <w:start w:val="4"/>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7E1CD1"/>
    <w:multiLevelType w:val="multilevel"/>
    <w:tmpl w:val="A00A328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pStyle w:val="H2a"/>
      <w:lvlText w:val="%2%3."/>
      <w:lvlJc w:val="right"/>
      <w:pPr>
        <w:ind w:left="2160" w:hanging="180"/>
      </w:pPr>
      <w:rPr>
        <w:rFonts w:hint="default"/>
      </w:rPr>
    </w:lvl>
    <w:lvl w:ilvl="3">
      <w:start w:val="1"/>
      <w:numFmt w:val="decimal"/>
      <w:lvlText w:val="%2%3%1%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8236547"/>
    <w:multiLevelType w:val="multilevel"/>
    <w:tmpl w:val="6040EF1A"/>
    <w:lvl w:ilvl="0">
      <w:start w:val="1"/>
      <w:numFmt w:val="decimal"/>
      <w:lvlText w:val="%1."/>
      <w:lvlJc w:val="left"/>
      <w:pPr>
        <w:ind w:left="360" w:hanging="360"/>
      </w:pPr>
      <w:rPr>
        <w:rFonts w:hint="default"/>
      </w:rPr>
    </w:lvl>
    <w:lvl w:ilvl="1">
      <w:start w:val="1"/>
      <w:numFmt w:val="decimal"/>
      <w:lvlText w:val="E.%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D149E4"/>
    <w:multiLevelType w:val="multilevel"/>
    <w:tmpl w:val="0FBE6A0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5053E2"/>
    <w:multiLevelType w:val="hybridMultilevel"/>
    <w:tmpl w:val="AC221624"/>
    <w:lvl w:ilvl="0" w:tplc="1554B87A">
      <w:numFmt w:val="bullet"/>
      <w:lvlText w:val=""/>
      <w:lvlJc w:val="left"/>
      <w:pPr>
        <w:ind w:left="720" w:hanging="360"/>
      </w:pPr>
      <w:rPr>
        <w:rFonts w:ascii="Symbol" w:eastAsia="SimSun" w:hAnsi="Symbo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E26496"/>
    <w:multiLevelType w:val="multilevel"/>
    <w:tmpl w:val="205A83B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3E265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E5A2B8F"/>
    <w:multiLevelType w:val="hybridMultilevel"/>
    <w:tmpl w:val="3954B7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6C1CB4"/>
    <w:multiLevelType w:val="multilevel"/>
    <w:tmpl w:val="0FBE6A0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B93224"/>
    <w:multiLevelType w:val="multilevel"/>
    <w:tmpl w:val="606211F4"/>
    <w:lvl w:ilvl="0">
      <w:start w:val="1"/>
      <w:numFmt w:val="upperLetter"/>
      <w:pStyle w:val="Vedlegg"/>
      <w:suff w:val="space"/>
      <w:lvlText w:val="Appendix %1"/>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C4C2C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F2714B"/>
    <w:multiLevelType w:val="hybridMultilevel"/>
    <w:tmpl w:val="3EA82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DB6E10"/>
    <w:multiLevelType w:val="multilevel"/>
    <w:tmpl w:val="C2DC1E7E"/>
    <w:lvl w:ilvl="0">
      <w:start w:val="1"/>
      <w:numFmt w:val="decimal"/>
      <w:lvlText w:val="%1."/>
      <w:lvlJc w:val="left"/>
      <w:pPr>
        <w:ind w:left="360" w:hanging="360"/>
      </w:pPr>
      <w:rPr>
        <w:rFonts w:hint="default"/>
      </w:rPr>
    </w:lvl>
    <w:lvl w:ilvl="1">
      <w:start w:val="1"/>
      <w:numFmt w:val="decimal"/>
      <w:lvlText w:val="A.%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956654"/>
    <w:multiLevelType w:val="multilevel"/>
    <w:tmpl w:val="8878CC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2671BF4"/>
    <w:multiLevelType w:val="hybridMultilevel"/>
    <w:tmpl w:val="C77C85F0"/>
    <w:lvl w:ilvl="0" w:tplc="1554B87A">
      <w:numFmt w:val="bullet"/>
      <w:lvlText w:val=""/>
      <w:lvlJc w:val="left"/>
      <w:pPr>
        <w:ind w:left="720" w:hanging="360"/>
      </w:pPr>
      <w:rPr>
        <w:rFonts w:ascii="Symbol" w:eastAsia="SimSun" w:hAnsi="Symbol" w:cs="Arial"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853B85"/>
    <w:multiLevelType w:val="hybridMultilevel"/>
    <w:tmpl w:val="23F268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351B93"/>
    <w:multiLevelType w:val="multilevel"/>
    <w:tmpl w:val="FF762030"/>
    <w:styleLink w:val="WWNum15"/>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9"/>
  </w:num>
  <w:num w:numId="3">
    <w:abstractNumId w:val="23"/>
  </w:num>
  <w:num w:numId="4">
    <w:abstractNumId w:val="6"/>
  </w:num>
  <w:num w:numId="5">
    <w:abstractNumId w:val="15"/>
    <w:lvlOverride w:ilvl="0">
      <w:lvl w:ilvl="0">
        <w:start w:val="1"/>
        <w:numFmt w:val="decimal"/>
        <w:lvlText w:val="%1."/>
        <w:lvlJc w:val="left"/>
        <w:pPr>
          <w:ind w:left="1068" w:hanging="360"/>
        </w:pPr>
        <w:rPr>
          <w:rFonts w:hint="default"/>
        </w:rPr>
      </w:lvl>
    </w:lvlOverride>
    <w:lvlOverride w:ilvl="1">
      <w:lvl w:ilvl="1">
        <w:start w:val="1"/>
        <w:numFmt w:val="decimal"/>
        <w:lvlText w:val="%1.%2."/>
        <w:lvlJc w:val="left"/>
        <w:pPr>
          <w:ind w:left="1788" w:hanging="360"/>
        </w:pPr>
        <w:rPr>
          <w:rFonts w:hint="default"/>
        </w:rPr>
      </w:lvl>
    </w:lvlOverride>
    <w:lvlOverride w:ilvl="2">
      <w:lvl w:ilvl="2">
        <w:start w:val="1"/>
        <w:numFmt w:val="decimal"/>
        <w:pStyle w:val="H2a"/>
        <w:lvlText w:val="%1.%2.%3."/>
        <w:lvlJc w:val="right"/>
        <w:pPr>
          <w:ind w:left="2508" w:hanging="180"/>
        </w:pPr>
        <w:rPr>
          <w:rFonts w:hint="default"/>
        </w:rPr>
      </w:lvl>
    </w:lvlOverride>
    <w:lvlOverride w:ilvl="3">
      <w:lvl w:ilvl="3">
        <w:start w:val="1"/>
        <w:numFmt w:val="decimal"/>
        <w:lvlText w:val="%2%3%1%4."/>
        <w:lvlJc w:val="left"/>
        <w:pPr>
          <w:ind w:left="3228" w:hanging="360"/>
        </w:pPr>
        <w:rPr>
          <w:rFonts w:hint="default"/>
        </w:rPr>
      </w:lvl>
    </w:lvlOverride>
    <w:lvlOverride w:ilvl="4">
      <w:lvl w:ilvl="4">
        <w:start w:val="1"/>
        <w:numFmt w:val="lowerLetter"/>
        <w:lvlText w:val="%5."/>
        <w:lvlJc w:val="left"/>
        <w:pPr>
          <w:ind w:left="3948" w:hanging="360"/>
        </w:pPr>
        <w:rPr>
          <w:rFonts w:hint="default"/>
        </w:rPr>
      </w:lvl>
    </w:lvlOverride>
    <w:lvlOverride w:ilvl="5">
      <w:lvl w:ilvl="5">
        <w:start w:val="1"/>
        <w:numFmt w:val="lowerRoman"/>
        <w:lvlText w:val="%6."/>
        <w:lvlJc w:val="right"/>
        <w:pPr>
          <w:ind w:left="4668" w:hanging="180"/>
        </w:pPr>
        <w:rPr>
          <w:rFonts w:hint="default"/>
        </w:rPr>
      </w:lvl>
    </w:lvlOverride>
    <w:lvlOverride w:ilvl="6">
      <w:lvl w:ilvl="6">
        <w:start w:val="1"/>
        <w:numFmt w:val="decimal"/>
        <w:lvlText w:val="%7."/>
        <w:lvlJc w:val="left"/>
        <w:pPr>
          <w:ind w:left="5388" w:hanging="360"/>
        </w:pPr>
        <w:rPr>
          <w:rFonts w:hint="default"/>
        </w:rPr>
      </w:lvl>
    </w:lvlOverride>
    <w:lvlOverride w:ilvl="7">
      <w:lvl w:ilvl="7">
        <w:start w:val="1"/>
        <w:numFmt w:val="lowerLetter"/>
        <w:lvlText w:val="%8."/>
        <w:lvlJc w:val="left"/>
        <w:pPr>
          <w:ind w:left="6108" w:hanging="360"/>
        </w:pPr>
        <w:rPr>
          <w:rFonts w:hint="default"/>
        </w:rPr>
      </w:lvl>
    </w:lvlOverride>
    <w:lvlOverride w:ilvl="8">
      <w:lvl w:ilvl="8">
        <w:start w:val="1"/>
        <w:numFmt w:val="lowerRoman"/>
        <w:lvlText w:val="%9."/>
        <w:lvlJc w:val="right"/>
        <w:pPr>
          <w:ind w:left="6828" w:hanging="180"/>
        </w:pPr>
        <w:rPr>
          <w:rFonts w:hint="default"/>
        </w:rPr>
      </w:lvl>
    </w:lvlOverride>
  </w:num>
  <w:num w:numId="6">
    <w:abstractNumId w:val="10"/>
  </w:num>
  <w:num w:numId="7">
    <w:abstractNumId w:val="7"/>
  </w:num>
  <w:num w:numId="8">
    <w:abstractNumId w:val="12"/>
  </w:num>
  <w:num w:numId="9">
    <w:abstractNumId w:val="27"/>
  </w:num>
  <w:num w:numId="10">
    <w:abstractNumId w:val="4"/>
  </w:num>
  <w:num w:numId="11">
    <w:abstractNumId w:val="3"/>
  </w:num>
  <w:num w:numId="12">
    <w:abstractNumId w:val="20"/>
  </w:num>
  <w:num w:numId="13">
    <w:abstractNumId w:val="24"/>
  </w:num>
  <w:num w:numId="14">
    <w:abstractNumId w:val="19"/>
  </w:num>
  <w:num w:numId="15">
    <w:abstractNumId w:val="26"/>
  </w:num>
  <w:num w:numId="16">
    <w:abstractNumId w:val="1"/>
  </w:num>
  <w:num w:numId="17">
    <w:abstractNumId w:val="11"/>
  </w:num>
  <w:num w:numId="18">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B.%2."/>
        <w:lvlJc w:val="left"/>
        <w:pPr>
          <w:ind w:left="792" w:hanging="432"/>
        </w:pPr>
        <w:rPr>
          <w:rFonts w:hint="default"/>
        </w:rPr>
      </w:lvl>
    </w:lvlOverride>
    <w:lvlOverride w:ilvl="2">
      <w:lvl w:ilvl="2">
        <w:start w:val="1"/>
        <w:numFmt w:val="decimal"/>
        <w:lvlText w:val="B.%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B.%2."/>
        <w:lvlJc w:val="left"/>
        <w:pPr>
          <w:ind w:left="792" w:hanging="432"/>
        </w:pPr>
        <w:rPr>
          <w:rFonts w:hint="default"/>
        </w:rPr>
      </w:lvl>
    </w:lvlOverride>
    <w:lvlOverride w:ilvl="2">
      <w:lvl w:ilvl="2">
        <w:start w:val="1"/>
        <w:numFmt w:val="decimal"/>
        <w:lvlText w:val="B.%2.%3."/>
        <w:lvlJc w:val="left"/>
        <w:pPr>
          <w:ind w:left="1224" w:hanging="504"/>
        </w:pPr>
        <w:rPr>
          <w:rFonts w:hint="default"/>
        </w:rPr>
      </w:lvl>
    </w:lvlOverride>
    <w:lvlOverride w:ilvl="3">
      <w:lvl w:ilvl="3">
        <w:start w:val="1"/>
        <w:numFmt w:val="decimal"/>
        <w:lvlText w:val="B.%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8"/>
  </w:num>
  <w:num w:numId="21">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D.%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5"/>
  </w:num>
  <w:num w:numId="23">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E.%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6"/>
  </w:num>
  <w:num w:numId="25">
    <w:abstractNumId w:val="20"/>
  </w:num>
  <w:num w:numId="26">
    <w:abstractNumId w:val="20"/>
  </w:num>
  <w:num w:numId="27">
    <w:abstractNumId w:val="25"/>
  </w:num>
  <w:num w:numId="28">
    <w:abstractNumId w:val="21"/>
  </w:num>
  <w:num w:numId="29">
    <w:abstractNumId w:val="29"/>
  </w:num>
  <w:num w:numId="30">
    <w:abstractNumId w:val="14"/>
  </w:num>
  <w:num w:numId="31">
    <w:abstractNumId w:val="28"/>
  </w:num>
  <w:num w:numId="32">
    <w:abstractNumId w:val="18"/>
  </w:num>
  <w:num w:numId="33">
    <w:abstractNumId w:val="17"/>
  </w:num>
  <w:num w:numId="34">
    <w:abstractNumId w:val="13"/>
  </w:num>
  <w:num w:numId="35">
    <w:abstractNumId w:val="22"/>
  </w:num>
  <w:num w:numId="36">
    <w:abstractNumId w:val="2"/>
  </w:num>
  <w:num w:numId="37">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46282"/>
    <w:rsid w:val="0000103A"/>
    <w:rsid w:val="0000354E"/>
    <w:rsid w:val="000060BF"/>
    <w:rsid w:val="000077E1"/>
    <w:rsid w:val="000116E7"/>
    <w:rsid w:val="00013BF5"/>
    <w:rsid w:val="00017F7B"/>
    <w:rsid w:val="0002067F"/>
    <w:rsid w:val="00024485"/>
    <w:rsid w:val="00031492"/>
    <w:rsid w:val="00031A79"/>
    <w:rsid w:val="00032F31"/>
    <w:rsid w:val="00034131"/>
    <w:rsid w:val="00036345"/>
    <w:rsid w:val="00036654"/>
    <w:rsid w:val="00037B1A"/>
    <w:rsid w:val="00042860"/>
    <w:rsid w:val="00042C3B"/>
    <w:rsid w:val="00044A42"/>
    <w:rsid w:val="00044B89"/>
    <w:rsid w:val="00045183"/>
    <w:rsid w:val="000452EC"/>
    <w:rsid w:val="00046383"/>
    <w:rsid w:val="00046407"/>
    <w:rsid w:val="000500E7"/>
    <w:rsid w:val="00051A09"/>
    <w:rsid w:val="000537D2"/>
    <w:rsid w:val="00055594"/>
    <w:rsid w:val="0005596C"/>
    <w:rsid w:val="00055B5D"/>
    <w:rsid w:val="00055DBF"/>
    <w:rsid w:val="000575A2"/>
    <w:rsid w:val="00060AFE"/>
    <w:rsid w:val="0006300E"/>
    <w:rsid w:val="00065596"/>
    <w:rsid w:val="000705AB"/>
    <w:rsid w:val="00070764"/>
    <w:rsid w:val="00071B60"/>
    <w:rsid w:val="00073507"/>
    <w:rsid w:val="0007598C"/>
    <w:rsid w:val="00076547"/>
    <w:rsid w:val="00080A98"/>
    <w:rsid w:val="00083EF7"/>
    <w:rsid w:val="00085F4A"/>
    <w:rsid w:val="0008649E"/>
    <w:rsid w:val="00087EDA"/>
    <w:rsid w:val="000921D3"/>
    <w:rsid w:val="00093D47"/>
    <w:rsid w:val="0009592E"/>
    <w:rsid w:val="0009699D"/>
    <w:rsid w:val="00097FEE"/>
    <w:rsid w:val="000A19E7"/>
    <w:rsid w:val="000A353E"/>
    <w:rsid w:val="000A4C2E"/>
    <w:rsid w:val="000A5105"/>
    <w:rsid w:val="000A6C2F"/>
    <w:rsid w:val="000B032D"/>
    <w:rsid w:val="000B1F53"/>
    <w:rsid w:val="000B20AE"/>
    <w:rsid w:val="000B2922"/>
    <w:rsid w:val="000B35CB"/>
    <w:rsid w:val="000B6257"/>
    <w:rsid w:val="000B6294"/>
    <w:rsid w:val="000B74C0"/>
    <w:rsid w:val="000B769F"/>
    <w:rsid w:val="000C15BF"/>
    <w:rsid w:val="000C3215"/>
    <w:rsid w:val="000C50A7"/>
    <w:rsid w:val="000C5567"/>
    <w:rsid w:val="000C5EFD"/>
    <w:rsid w:val="000C74E1"/>
    <w:rsid w:val="000C77CB"/>
    <w:rsid w:val="000D0034"/>
    <w:rsid w:val="000D01CB"/>
    <w:rsid w:val="000D131E"/>
    <w:rsid w:val="000D29C1"/>
    <w:rsid w:val="000D588C"/>
    <w:rsid w:val="000D605B"/>
    <w:rsid w:val="000D724F"/>
    <w:rsid w:val="000D7517"/>
    <w:rsid w:val="000E0EC5"/>
    <w:rsid w:val="000E1884"/>
    <w:rsid w:val="000E39E5"/>
    <w:rsid w:val="000E7D83"/>
    <w:rsid w:val="000F158C"/>
    <w:rsid w:val="000F1ACE"/>
    <w:rsid w:val="000F1DFD"/>
    <w:rsid w:val="000F22B4"/>
    <w:rsid w:val="000F4267"/>
    <w:rsid w:val="000F46C7"/>
    <w:rsid w:val="000F5267"/>
    <w:rsid w:val="000F7142"/>
    <w:rsid w:val="001049BC"/>
    <w:rsid w:val="0010645D"/>
    <w:rsid w:val="001067EC"/>
    <w:rsid w:val="00107667"/>
    <w:rsid w:val="001106AC"/>
    <w:rsid w:val="00111041"/>
    <w:rsid w:val="001137D5"/>
    <w:rsid w:val="0011753B"/>
    <w:rsid w:val="00117A1C"/>
    <w:rsid w:val="00120486"/>
    <w:rsid w:val="00120FD3"/>
    <w:rsid w:val="00121441"/>
    <w:rsid w:val="0012386B"/>
    <w:rsid w:val="00124E61"/>
    <w:rsid w:val="00127564"/>
    <w:rsid w:val="0012796B"/>
    <w:rsid w:val="00130516"/>
    <w:rsid w:val="0013242C"/>
    <w:rsid w:val="00134925"/>
    <w:rsid w:val="0013579A"/>
    <w:rsid w:val="00136C70"/>
    <w:rsid w:val="00140D66"/>
    <w:rsid w:val="0014150E"/>
    <w:rsid w:val="00141AC9"/>
    <w:rsid w:val="00141AD1"/>
    <w:rsid w:val="0014316E"/>
    <w:rsid w:val="001440E8"/>
    <w:rsid w:val="0014481F"/>
    <w:rsid w:val="00146282"/>
    <w:rsid w:val="00146A7E"/>
    <w:rsid w:val="00147DAD"/>
    <w:rsid w:val="00151DA1"/>
    <w:rsid w:val="00151FE7"/>
    <w:rsid w:val="00154536"/>
    <w:rsid w:val="00154C9B"/>
    <w:rsid w:val="00154FBE"/>
    <w:rsid w:val="00157D0A"/>
    <w:rsid w:val="001633F7"/>
    <w:rsid w:val="00163651"/>
    <w:rsid w:val="001644C5"/>
    <w:rsid w:val="00165A85"/>
    <w:rsid w:val="001665AE"/>
    <w:rsid w:val="00167DD0"/>
    <w:rsid w:val="00171B2B"/>
    <w:rsid w:val="00172B18"/>
    <w:rsid w:val="001730AA"/>
    <w:rsid w:val="00173510"/>
    <w:rsid w:val="001745DC"/>
    <w:rsid w:val="00175789"/>
    <w:rsid w:val="00175EA6"/>
    <w:rsid w:val="001760D7"/>
    <w:rsid w:val="001807B4"/>
    <w:rsid w:val="00180CC2"/>
    <w:rsid w:val="001814A8"/>
    <w:rsid w:val="001819E8"/>
    <w:rsid w:val="001852B8"/>
    <w:rsid w:val="00186D0A"/>
    <w:rsid w:val="00187E97"/>
    <w:rsid w:val="00190226"/>
    <w:rsid w:val="00191297"/>
    <w:rsid w:val="00191CDF"/>
    <w:rsid w:val="00192095"/>
    <w:rsid w:val="001937AB"/>
    <w:rsid w:val="001966F5"/>
    <w:rsid w:val="001A1B87"/>
    <w:rsid w:val="001A1DCA"/>
    <w:rsid w:val="001A657A"/>
    <w:rsid w:val="001A6994"/>
    <w:rsid w:val="001B0A89"/>
    <w:rsid w:val="001B0A8E"/>
    <w:rsid w:val="001B1331"/>
    <w:rsid w:val="001B1BA8"/>
    <w:rsid w:val="001B2D0D"/>
    <w:rsid w:val="001B63A6"/>
    <w:rsid w:val="001C098B"/>
    <w:rsid w:val="001C0C5D"/>
    <w:rsid w:val="001C1848"/>
    <w:rsid w:val="001C2254"/>
    <w:rsid w:val="001C2A65"/>
    <w:rsid w:val="001C4F72"/>
    <w:rsid w:val="001C53B0"/>
    <w:rsid w:val="001C5690"/>
    <w:rsid w:val="001C56CA"/>
    <w:rsid w:val="001C724A"/>
    <w:rsid w:val="001D040E"/>
    <w:rsid w:val="001D1382"/>
    <w:rsid w:val="001D59AC"/>
    <w:rsid w:val="001D5F26"/>
    <w:rsid w:val="001D7262"/>
    <w:rsid w:val="001E4979"/>
    <w:rsid w:val="001F0373"/>
    <w:rsid w:val="001F2267"/>
    <w:rsid w:val="001F5AFE"/>
    <w:rsid w:val="001F6CDC"/>
    <w:rsid w:val="001F7927"/>
    <w:rsid w:val="00200BB0"/>
    <w:rsid w:val="0020173D"/>
    <w:rsid w:val="0020312F"/>
    <w:rsid w:val="002054EB"/>
    <w:rsid w:val="002114AC"/>
    <w:rsid w:val="00211C77"/>
    <w:rsid w:val="00214536"/>
    <w:rsid w:val="00214994"/>
    <w:rsid w:val="00215A94"/>
    <w:rsid w:val="00215E95"/>
    <w:rsid w:val="00216B17"/>
    <w:rsid w:val="00216EFE"/>
    <w:rsid w:val="00220A37"/>
    <w:rsid w:val="00220D84"/>
    <w:rsid w:val="0022252B"/>
    <w:rsid w:val="00222C2B"/>
    <w:rsid w:val="00224578"/>
    <w:rsid w:val="00227097"/>
    <w:rsid w:val="00230942"/>
    <w:rsid w:val="002319D4"/>
    <w:rsid w:val="002356BA"/>
    <w:rsid w:val="00237094"/>
    <w:rsid w:val="002410DE"/>
    <w:rsid w:val="002417FA"/>
    <w:rsid w:val="00243282"/>
    <w:rsid w:val="002438C2"/>
    <w:rsid w:val="002457D4"/>
    <w:rsid w:val="00246522"/>
    <w:rsid w:val="002469EA"/>
    <w:rsid w:val="00251BC5"/>
    <w:rsid w:val="00251C4E"/>
    <w:rsid w:val="002553B2"/>
    <w:rsid w:val="00256A2C"/>
    <w:rsid w:val="0025741D"/>
    <w:rsid w:val="00262D31"/>
    <w:rsid w:val="00264071"/>
    <w:rsid w:val="00264FB7"/>
    <w:rsid w:val="00266328"/>
    <w:rsid w:val="0026659E"/>
    <w:rsid w:val="002679D6"/>
    <w:rsid w:val="0027106D"/>
    <w:rsid w:val="00271E24"/>
    <w:rsid w:val="00272700"/>
    <w:rsid w:val="002801A8"/>
    <w:rsid w:val="00280B60"/>
    <w:rsid w:val="002830DE"/>
    <w:rsid w:val="0028491F"/>
    <w:rsid w:val="002850A1"/>
    <w:rsid w:val="00285240"/>
    <w:rsid w:val="00286BCD"/>
    <w:rsid w:val="002904DC"/>
    <w:rsid w:val="00290C29"/>
    <w:rsid w:val="00293CE9"/>
    <w:rsid w:val="00297A67"/>
    <w:rsid w:val="002A2BFC"/>
    <w:rsid w:val="002A3158"/>
    <w:rsid w:val="002A4D7A"/>
    <w:rsid w:val="002A5999"/>
    <w:rsid w:val="002A620C"/>
    <w:rsid w:val="002A7E01"/>
    <w:rsid w:val="002B1194"/>
    <w:rsid w:val="002B19E1"/>
    <w:rsid w:val="002B2164"/>
    <w:rsid w:val="002B35A4"/>
    <w:rsid w:val="002B3723"/>
    <w:rsid w:val="002B3E07"/>
    <w:rsid w:val="002B6D44"/>
    <w:rsid w:val="002C0017"/>
    <w:rsid w:val="002C2DA1"/>
    <w:rsid w:val="002C3702"/>
    <w:rsid w:val="002C5197"/>
    <w:rsid w:val="002C571C"/>
    <w:rsid w:val="002D0868"/>
    <w:rsid w:val="002D2421"/>
    <w:rsid w:val="002D3D2E"/>
    <w:rsid w:val="002D4329"/>
    <w:rsid w:val="002D7F54"/>
    <w:rsid w:val="002E187F"/>
    <w:rsid w:val="002E3451"/>
    <w:rsid w:val="002E7B22"/>
    <w:rsid w:val="002E7B40"/>
    <w:rsid w:val="002E7F8B"/>
    <w:rsid w:val="002E7FC8"/>
    <w:rsid w:val="002F092E"/>
    <w:rsid w:val="002F1B9F"/>
    <w:rsid w:val="002F1DA3"/>
    <w:rsid w:val="002F45CC"/>
    <w:rsid w:val="002F6368"/>
    <w:rsid w:val="002F75B3"/>
    <w:rsid w:val="00302451"/>
    <w:rsid w:val="003034AE"/>
    <w:rsid w:val="00303FF7"/>
    <w:rsid w:val="00305978"/>
    <w:rsid w:val="00306C83"/>
    <w:rsid w:val="00306E29"/>
    <w:rsid w:val="00310244"/>
    <w:rsid w:val="003106E2"/>
    <w:rsid w:val="00312A9C"/>
    <w:rsid w:val="00314662"/>
    <w:rsid w:val="00315A26"/>
    <w:rsid w:val="00316CF6"/>
    <w:rsid w:val="00317A5A"/>
    <w:rsid w:val="003208E2"/>
    <w:rsid w:val="00322BAC"/>
    <w:rsid w:val="00322F3E"/>
    <w:rsid w:val="00323937"/>
    <w:rsid w:val="00326EA7"/>
    <w:rsid w:val="00332B0A"/>
    <w:rsid w:val="00333305"/>
    <w:rsid w:val="0033551E"/>
    <w:rsid w:val="00341C2C"/>
    <w:rsid w:val="00342425"/>
    <w:rsid w:val="0034426B"/>
    <w:rsid w:val="003452A8"/>
    <w:rsid w:val="0034756A"/>
    <w:rsid w:val="00347F82"/>
    <w:rsid w:val="0035267E"/>
    <w:rsid w:val="003561EB"/>
    <w:rsid w:val="00357509"/>
    <w:rsid w:val="00357C17"/>
    <w:rsid w:val="00357C7C"/>
    <w:rsid w:val="00361415"/>
    <w:rsid w:val="0036217A"/>
    <w:rsid w:val="0036404B"/>
    <w:rsid w:val="003670E1"/>
    <w:rsid w:val="0037044B"/>
    <w:rsid w:val="003715E6"/>
    <w:rsid w:val="0037237D"/>
    <w:rsid w:val="00373E7E"/>
    <w:rsid w:val="0037405B"/>
    <w:rsid w:val="00377104"/>
    <w:rsid w:val="003771C7"/>
    <w:rsid w:val="00380B6A"/>
    <w:rsid w:val="003848BD"/>
    <w:rsid w:val="00384978"/>
    <w:rsid w:val="00384D20"/>
    <w:rsid w:val="00385826"/>
    <w:rsid w:val="00385A3B"/>
    <w:rsid w:val="00385D38"/>
    <w:rsid w:val="00386689"/>
    <w:rsid w:val="003866E1"/>
    <w:rsid w:val="00386C6D"/>
    <w:rsid w:val="00387736"/>
    <w:rsid w:val="003877D6"/>
    <w:rsid w:val="0039047A"/>
    <w:rsid w:val="00390A0A"/>
    <w:rsid w:val="00390A24"/>
    <w:rsid w:val="00391A12"/>
    <w:rsid w:val="00392235"/>
    <w:rsid w:val="003947C3"/>
    <w:rsid w:val="00397BC2"/>
    <w:rsid w:val="00397EF9"/>
    <w:rsid w:val="003A1377"/>
    <w:rsid w:val="003A39C7"/>
    <w:rsid w:val="003A5690"/>
    <w:rsid w:val="003A612B"/>
    <w:rsid w:val="003B1461"/>
    <w:rsid w:val="003B2FE0"/>
    <w:rsid w:val="003B3319"/>
    <w:rsid w:val="003B7776"/>
    <w:rsid w:val="003C1D7D"/>
    <w:rsid w:val="003C3104"/>
    <w:rsid w:val="003C3771"/>
    <w:rsid w:val="003C5101"/>
    <w:rsid w:val="003C51E1"/>
    <w:rsid w:val="003C64F7"/>
    <w:rsid w:val="003C68FB"/>
    <w:rsid w:val="003C760E"/>
    <w:rsid w:val="003D08F0"/>
    <w:rsid w:val="003D25FF"/>
    <w:rsid w:val="003D2A53"/>
    <w:rsid w:val="003D42CC"/>
    <w:rsid w:val="003E2382"/>
    <w:rsid w:val="003E24CF"/>
    <w:rsid w:val="003E2C81"/>
    <w:rsid w:val="003E62CF"/>
    <w:rsid w:val="003F17D7"/>
    <w:rsid w:val="003F56A6"/>
    <w:rsid w:val="003F56B1"/>
    <w:rsid w:val="00400E58"/>
    <w:rsid w:val="00402687"/>
    <w:rsid w:val="0040365F"/>
    <w:rsid w:val="004057EF"/>
    <w:rsid w:val="00407701"/>
    <w:rsid w:val="00410A61"/>
    <w:rsid w:val="00411A45"/>
    <w:rsid w:val="00412B5F"/>
    <w:rsid w:val="00414242"/>
    <w:rsid w:val="004155CB"/>
    <w:rsid w:val="004172D3"/>
    <w:rsid w:val="00422BA3"/>
    <w:rsid w:val="0042495E"/>
    <w:rsid w:val="00424C17"/>
    <w:rsid w:val="004266F3"/>
    <w:rsid w:val="00426D00"/>
    <w:rsid w:val="00431029"/>
    <w:rsid w:val="0043177D"/>
    <w:rsid w:val="00431877"/>
    <w:rsid w:val="00432E67"/>
    <w:rsid w:val="00433A7C"/>
    <w:rsid w:val="00435958"/>
    <w:rsid w:val="00442DFE"/>
    <w:rsid w:val="00443302"/>
    <w:rsid w:val="00446096"/>
    <w:rsid w:val="00447CED"/>
    <w:rsid w:val="00451D41"/>
    <w:rsid w:val="00451FE3"/>
    <w:rsid w:val="00453105"/>
    <w:rsid w:val="00453A5A"/>
    <w:rsid w:val="00453A69"/>
    <w:rsid w:val="00453C81"/>
    <w:rsid w:val="00460FDA"/>
    <w:rsid w:val="00461CE7"/>
    <w:rsid w:val="00461D27"/>
    <w:rsid w:val="00462095"/>
    <w:rsid w:val="0046282E"/>
    <w:rsid w:val="00463623"/>
    <w:rsid w:val="004658F1"/>
    <w:rsid w:val="00466967"/>
    <w:rsid w:val="00467733"/>
    <w:rsid w:val="0047008D"/>
    <w:rsid w:val="00473DC8"/>
    <w:rsid w:val="00475343"/>
    <w:rsid w:val="0047653F"/>
    <w:rsid w:val="00476B82"/>
    <w:rsid w:val="004772BA"/>
    <w:rsid w:val="00483A42"/>
    <w:rsid w:val="00484CD8"/>
    <w:rsid w:val="0048747D"/>
    <w:rsid w:val="00487990"/>
    <w:rsid w:val="00492B84"/>
    <w:rsid w:val="00493822"/>
    <w:rsid w:val="00494738"/>
    <w:rsid w:val="00495C56"/>
    <w:rsid w:val="00495ECC"/>
    <w:rsid w:val="00497B28"/>
    <w:rsid w:val="004A0194"/>
    <w:rsid w:val="004A0EA1"/>
    <w:rsid w:val="004A161A"/>
    <w:rsid w:val="004A4D75"/>
    <w:rsid w:val="004B04EE"/>
    <w:rsid w:val="004B2486"/>
    <w:rsid w:val="004B2BDD"/>
    <w:rsid w:val="004B3289"/>
    <w:rsid w:val="004B43AB"/>
    <w:rsid w:val="004B4912"/>
    <w:rsid w:val="004B5B2D"/>
    <w:rsid w:val="004C5831"/>
    <w:rsid w:val="004C7280"/>
    <w:rsid w:val="004C7BE1"/>
    <w:rsid w:val="004D3328"/>
    <w:rsid w:val="004D3EE9"/>
    <w:rsid w:val="004D4400"/>
    <w:rsid w:val="004D7BB9"/>
    <w:rsid w:val="004E0B5B"/>
    <w:rsid w:val="004E0FD0"/>
    <w:rsid w:val="004E2B57"/>
    <w:rsid w:val="004E2E10"/>
    <w:rsid w:val="004E2E2F"/>
    <w:rsid w:val="004E375C"/>
    <w:rsid w:val="004E4E29"/>
    <w:rsid w:val="004E5F81"/>
    <w:rsid w:val="004E620E"/>
    <w:rsid w:val="004E7E14"/>
    <w:rsid w:val="004F2FF9"/>
    <w:rsid w:val="004F31CD"/>
    <w:rsid w:val="004F483A"/>
    <w:rsid w:val="005046BB"/>
    <w:rsid w:val="00505179"/>
    <w:rsid w:val="00512BA9"/>
    <w:rsid w:val="005140F4"/>
    <w:rsid w:val="00515381"/>
    <w:rsid w:val="005157D7"/>
    <w:rsid w:val="0051687E"/>
    <w:rsid w:val="00517086"/>
    <w:rsid w:val="005178C1"/>
    <w:rsid w:val="0052624C"/>
    <w:rsid w:val="00532147"/>
    <w:rsid w:val="005324B3"/>
    <w:rsid w:val="005333B3"/>
    <w:rsid w:val="00534F53"/>
    <w:rsid w:val="00535080"/>
    <w:rsid w:val="00542A92"/>
    <w:rsid w:val="00545B04"/>
    <w:rsid w:val="005465A8"/>
    <w:rsid w:val="00546D32"/>
    <w:rsid w:val="00547509"/>
    <w:rsid w:val="0054789F"/>
    <w:rsid w:val="00557FC9"/>
    <w:rsid w:val="00560087"/>
    <w:rsid w:val="00562022"/>
    <w:rsid w:val="00565277"/>
    <w:rsid w:val="00565E19"/>
    <w:rsid w:val="00566E88"/>
    <w:rsid w:val="00567110"/>
    <w:rsid w:val="00572F38"/>
    <w:rsid w:val="005730DC"/>
    <w:rsid w:val="00574D33"/>
    <w:rsid w:val="00575706"/>
    <w:rsid w:val="005759BE"/>
    <w:rsid w:val="00577F60"/>
    <w:rsid w:val="00577F62"/>
    <w:rsid w:val="005800D9"/>
    <w:rsid w:val="00580603"/>
    <w:rsid w:val="005815D2"/>
    <w:rsid w:val="00582E6D"/>
    <w:rsid w:val="00582EF2"/>
    <w:rsid w:val="00583BDF"/>
    <w:rsid w:val="0058438A"/>
    <w:rsid w:val="00585823"/>
    <w:rsid w:val="00585FF4"/>
    <w:rsid w:val="00586333"/>
    <w:rsid w:val="00592636"/>
    <w:rsid w:val="00595D51"/>
    <w:rsid w:val="0059624A"/>
    <w:rsid w:val="00596452"/>
    <w:rsid w:val="005975F3"/>
    <w:rsid w:val="005A075B"/>
    <w:rsid w:val="005A164B"/>
    <w:rsid w:val="005A169F"/>
    <w:rsid w:val="005A1C9D"/>
    <w:rsid w:val="005A3036"/>
    <w:rsid w:val="005A5239"/>
    <w:rsid w:val="005A63AA"/>
    <w:rsid w:val="005A6787"/>
    <w:rsid w:val="005A6804"/>
    <w:rsid w:val="005A68BA"/>
    <w:rsid w:val="005B2410"/>
    <w:rsid w:val="005B399E"/>
    <w:rsid w:val="005B4AC3"/>
    <w:rsid w:val="005B6A57"/>
    <w:rsid w:val="005B750B"/>
    <w:rsid w:val="005C6E35"/>
    <w:rsid w:val="005C79DD"/>
    <w:rsid w:val="005D1CE8"/>
    <w:rsid w:val="005D1EDF"/>
    <w:rsid w:val="005D50E2"/>
    <w:rsid w:val="005D5838"/>
    <w:rsid w:val="005D644B"/>
    <w:rsid w:val="005D7E67"/>
    <w:rsid w:val="005E103E"/>
    <w:rsid w:val="005E2971"/>
    <w:rsid w:val="005E3735"/>
    <w:rsid w:val="005E44A9"/>
    <w:rsid w:val="005E4A3A"/>
    <w:rsid w:val="005E5B53"/>
    <w:rsid w:val="005F1D6E"/>
    <w:rsid w:val="005F3D96"/>
    <w:rsid w:val="005F46EB"/>
    <w:rsid w:val="005F4B42"/>
    <w:rsid w:val="005F61CD"/>
    <w:rsid w:val="00602032"/>
    <w:rsid w:val="00604A71"/>
    <w:rsid w:val="00605DEF"/>
    <w:rsid w:val="006063E5"/>
    <w:rsid w:val="00606879"/>
    <w:rsid w:val="00606D70"/>
    <w:rsid w:val="00610001"/>
    <w:rsid w:val="00610074"/>
    <w:rsid w:val="00612F2A"/>
    <w:rsid w:val="00614B2B"/>
    <w:rsid w:val="00615853"/>
    <w:rsid w:val="00615C5B"/>
    <w:rsid w:val="00616995"/>
    <w:rsid w:val="00616D6B"/>
    <w:rsid w:val="006219B1"/>
    <w:rsid w:val="006240BB"/>
    <w:rsid w:val="006246E1"/>
    <w:rsid w:val="00625942"/>
    <w:rsid w:val="006264DD"/>
    <w:rsid w:val="006265C1"/>
    <w:rsid w:val="00627223"/>
    <w:rsid w:val="00627BBE"/>
    <w:rsid w:val="00630E12"/>
    <w:rsid w:val="00632334"/>
    <w:rsid w:val="006350C0"/>
    <w:rsid w:val="006366B2"/>
    <w:rsid w:val="00637BB4"/>
    <w:rsid w:val="00640B49"/>
    <w:rsid w:val="00641B78"/>
    <w:rsid w:val="00642821"/>
    <w:rsid w:val="00643A86"/>
    <w:rsid w:val="00647139"/>
    <w:rsid w:val="00651E71"/>
    <w:rsid w:val="00651EC9"/>
    <w:rsid w:val="006545DC"/>
    <w:rsid w:val="006616EB"/>
    <w:rsid w:val="00661714"/>
    <w:rsid w:val="00661E6D"/>
    <w:rsid w:val="00665000"/>
    <w:rsid w:val="00667F9E"/>
    <w:rsid w:val="00670A66"/>
    <w:rsid w:val="00670EBD"/>
    <w:rsid w:val="00672511"/>
    <w:rsid w:val="00674DA5"/>
    <w:rsid w:val="006840D7"/>
    <w:rsid w:val="006841CE"/>
    <w:rsid w:val="00684E10"/>
    <w:rsid w:val="00687048"/>
    <w:rsid w:val="006910A1"/>
    <w:rsid w:val="006913E3"/>
    <w:rsid w:val="00695766"/>
    <w:rsid w:val="006967AE"/>
    <w:rsid w:val="006A195F"/>
    <w:rsid w:val="006A2A56"/>
    <w:rsid w:val="006A389A"/>
    <w:rsid w:val="006A456F"/>
    <w:rsid w:val="006A474E"/>
    <w:rsid w:val="006A5C38"/>
    <w:rsid w:val="006A72F3"/>
    <w:rsid w:val="006A7449"/>
    <w:rsid w:val="006A7BAB"/>
    <w:rsid w:val="006B3574"/>
    <w:rsid w:val="006B4E50"/>
    <w:rsid w:val="006B7D0A"/>
    <w:rsid w:val="006C1375"/>
    <w:rsid w:val="006C186B"/>
    <w:rsid w:val="006C1D85"/>
    <w:rsid w:val="006C2036"/>
    <w:rsid w:val="006C4B25"/>
    <w:rsid w:val="006C4E79"/>
    <w:rsid w:val="006C5590"/>
    <w:rsid w:val="006D1F90"/>
    <w:rsid w:val="006D5113"/>
    <w:rsid w:val="006D5E9A"/>
    <w:rsid w:val="006D7BE7"/>
    <w:rsid w:val="006D7D57"/>
    <w:rsid w:val="006E05EE"/>
    <w:rsid w:val="006E0C81"/>
    <w:rsid w:val="006E1BDC"/>
    <w:rsid w:val="006E1EF1"/>
    <w:rsid w:val="006E21C0"/>
    <w:rsid w:val="006E48BD"/>
    <w:rsid w:val="006E49DC"/>
    <w:rsid w:val="006E76FC"/>
    <w:rsid w:val="006F21D4"/>
    <w:rsid w:val="006F2843"/>
    <w:rsid w:val="006F2C4D"/>
    <w:rsid w:val="006F305E"/>
    <w:rsid w:val="006F308D"/>
    <w:rsid w:val="006F4F9F"/>
    <w:rsid w:val="006F7B15"/>
    <w:rsid w:val="006F7DFF"/>
    <w:rsid w:val="0070021A"/>
    <w:rsid w:val="00700485"/>
    <w:rsid w:val="00700E93"/>
    <w:rsid w:val="00703BC8"/>
    <w:rsid w:val="0070452C"/>
    <w:rsid w:val="007062CD"/>
    <w:rsid w:val="0071012E"/>
    <w:rsid w:val="00716C72"/>
    <w:rsid w:val="00717295"/>
    <w:rsid w:val="00720D40"/>
    <w:rsid w:val="00721E59"/>
    <w:rsid w:val="00721FFA"/>
    <w:rsid w:val="00722A8C"/>
    <w:rsid w:val="00725663"/>
    <w:rsid w:val="007263E2"/>
    <w:rsid w:val="0073348E"/>
    <w:rsid w:val="007349F5"/>
    <w:rsid w:val="00734ACA"/>
    <w:rsid w:val="00735500"/>
    <w:rsid w:val="00740175"/>
    <w:rsid w:val="00740240"/>
    <w:rsid w:val="007409B5"/>
    <w:rsid w:val="007425AD"/>
    <w:rsid w:val="0074391E"/>
    <w:rsid w:val="00745672"/>
    <w:rsid w:val="00746FBA"/>
    <w:rsid w:val="007471F1"/>
    <w:rsid w:val="0074785D"/>
    <w:rsid w:val="00750689"/>
    <w:rsid w:val="00751937"/>
    <w:rsid w:val="00752FEF"/>
    <w:rsid w:val="007547A6"/>
    <w:rsid w:val="007561A5"/>
    <w:rsid w:val="007567F7"/>
    <w:rsid w:val="007575C2"/>
    <w:rsid w:val="007605AA"/>
    <w:rsid w:val="00761B2C"/>
    <w:rsid w:val="007634D4"/>
    <w:rsid w:val="00763A1F"/>
    <w:rsid w:val="00763A51"/>
    <w:rsid w:val="00764C95"/>
    <w:rsid w:val="00771C39"/>
    <w:rsid w:val="00772A16"/>
    <w:rsid w:val="00773840"/>
    <w:rsid w:val="00780BDE"/>
    <w:rsid w:val="0078313B"/>
    <w:rsid w:val="00783B51"/>
    <w:rsid w:val="00783D8F"/>
    <w:rsid w:val="00784893"/>
    <w:rsid w:val="007854FC"/>
    <w:rsid w:val="00786F7B"/>
    <w:rsid w:val="00790940"/>
    <w:rsid w:val="00790955"/>
    <w:rsid w:val="007915A8"/>
    <w:rsid w:val="00792657"/>
    <w:rsid w:val="00795BC3"/>
    <w:rsid w:val="007965F9"/>
    <w:rsid w:val="00797B06"/>
    <w:rsid w:val="007A111B"/>
    <w:rsid w:val="007A1251"/>
    <w:rsid w:val="007A1254"/>
    <w:rsid w:val="007A1A49"/>
    <w:rsid w:val="007A1DB4"/>
    <w:rsid w:val="007A3489"/>
    <w:rsid w:val="007A38AF"/>
    <w:rsid w:val="007A6B2C"/>
    <w:rsid w:val="007A6D36"/>
    <w:rsid w:val="007B01DB"/>
    <w:rsid w:val="007B1D5D"/>
    <w:rsid w:val="007B262A"/>
    <w:rsid w:val="007B3F26"/>
    <w:rsid w:val="007B49A3"/>
    <w:rsid w:val="007B4B91"/>
    <w:rsid w:val="007B5243"/>
    <w:rsid w:val="007B664C"/>
    <w:rsid w:val="007B6C2A"/>
    <w:rsid w:val="007C5721"/>
    <w:rsid w:val="007C5FEA"/>
    <w:rsid w:val="007D37DE"/>
    <w:rsid w:val="007D54A1"/>
    <w:rsid w:val="007D60C8"/>
    <w:rsid w:val="007D6215"/>
    <w:rsid w:val="007D67E5"/>
    <w:rsid w:val="007D70E2"/>
    <w:rsid w:val="007D7535"/>
    <w:rsid w:val="007E3DFA"/>
    <w:rsid w:val="007F2D6E"/>
    <w:rsid w:val="007F5434"/>
    <w:rsid w:val="008010CD"/>
    <w:rsid w:val="008010E7"/>
    <w:rsid w:val="00801F42"/>
    <w:rsid w:val="00805AB7"/>
    <w:rsid w:val="00806F6B"/>
    <w:rsid w:val="00814427"/>
    <w:rsid w:val="008149FE"/>
    <w:rsid w:val="00814AC0"/>
    <w:rsid w:val="00815537"/>
    <w:rsid w:val="00821608"/>
    <w:rsid w:val="008278D4"/>
    <w:rsid w:val="00827C43"/>
    <w:rsid w:val="00830216"/>
    <w:rsid w:val="00832932"/>
    <w:rsid w:val="00833F89"/>
    <w:rsid w:val="008340E3"/>
    <w:rsid w:val="00834126"/>
    <w:rsid w:val="00834212"/>
    <w:rsid w:val="0083509C"/>
    <w:rsid w:val="008374F9"/>
    <w:rsid w:val="00837D9E"/>
    <w:rsid w:val="00840D6F"/>
    <w:rsid w:val="00843350"/>
    <w:rsid w:val="00847D55"/>
    <w:rsid w:val="00850BF6"/>
    <w:rsid w:val="00851957"/>
    <w:rsid w:val="0085426D"/>
    <w:rsid w:val="008550C5"/>
    <w:rsid w:val="008563CA"/>
    <w:rsid w:val="008578B7"/>
    <w:rsid w:val="00860087"/>
    <w:rsid w:val="0086026D"/>
    <w:rsid w:val="00864BCC"/>
    <w:rsid w:val="008679A6"/>
    <w:rsid w:val="0087048C"/>
    <w:rsid w:val="0087064C"/>
    <w:rsid w:val="008713D6"/>
    <w:rsid w:val="008723E5"/>
    <w:rsid w:val="00872FB5"/>
    <w:rsid w:val="00874D0D"/>
    <w:rsid w:val="00876597"/>
    <w:rsid w:val="0087758E"/>
    <w:rsid w:val="00881984"/>
    <w:rsid w:val="008827FC"/>
    <w:rsid w:val="008843AA"/>
    <w:rsid w:val="008848BC"/>
    <w:rsid w:val="008851CE"/>
    <w:rsid w:val="008864E1"/>
    <w:rsid w:val="008910CF"/>
    <w:rsid w:val="008922DA"/>
    <w:rsid w:val="00893A0A"/>
    <w:rsid w:val="00894F2D"/>
    <w:rsid w:val="008959E3"/>
    <w:rsid w:val="00895A56"/>
    <w:rsid w:val="0089672B"/>
    <w:rsid w:val="00896EC1"/>
    <w:rsid w:val="008A156F"/>
    <w:rsid w:val="008A4F68"/>
    <w:rsid w:val="008A64EF"/>
    <w:rsid w:val="008A68F6"/>
    <w:rsid w:val="008A6E73"/>
    <w:rsid w:val="008B033B"/>
    <w:rsid w:val="008B1D8A"/>
    <w:rsid w:val="008B5EAD"/>
    <w:rsid w:val="008C02D9"/>
    <w:rsid w:val="008C1AB9"/>
    <w:rsid w:val="008C1CFA"/>
    <w:rsid w:val="008C3B54"/>
    <w:rsid w:val="008C60C4"/>
    <w:rsid w:val="008D0241"/>
    <w:rsid w:val="008D091F"/>
    <w:rsid w:val="008E034D"/>
    <w:rsid w:val="008E3AA0"/>
    <w:rsid w:val="008E4257"/>
    <w:rsid w:val="008E52B6"/>
    <w:rsid w:val="008E6DAC"/>
    <w:rsid w:val="008F01CF"/>
    <w:rsid w:val="008F0FC5"/>
    <w:rsid w:val="008F112A"/>
    <w:rsid w:val="008F15D0"/>
    <w:rsid w:val="008F1A5B"/>
    <w:rsid w:val="008F1D3E"/>
    <w:rsid w:val="008F53F3"/>
    <w:rsid w:val="008F6E15"/>
    <w:rsid w:val="009003B7"/>
    <w:rsid w:val="0090191A"/>
    <w:rsid w:val="00901EEF"/>
    <w:rsid w:val="009023EF"/>
    <w:rsid w:val="00902AD2"/>
    <w:rsid w:val="009037C0"/>
    <w:rsid w:val="00907B03"/>
    <w:rsid w:val="00910A49"/>
    <w:rsid w:val="0091154D"/>
    <w:rsid w:val="009115C0"/>
    <w:rsid w:val="00911D45"/>
    <w:rsid w:val="00911FA7"/>
    <w:rsid w:val="00920832"/>
    <w:rsid w:val="009230DA"/>
    <w:rsid w:val="00923764"/>
    <w:rsid w:val="00923E9B"/>
    <w:rsid w:val="00926006"/>
    <w:rsid w:val="00927711"/>
    <w:rsid w:val="00930AE7"/>
    <w:rsid w:val="009335A3"/>
    <w:rsid w:val="00935099"/>
    <w:rsid w:val="009353C0"/>
    <w:rsid w:val="00936ADF"/>
    <w:rsid w:val="00936C17"/>
    <w:rsid w:val="00940B88"/>
    <w:rsid w:val="00942B90"/>
    <w:rsid w:val="00944419"/>
    <w:rsid w:val="00944C1E"/>
    <w:rsid w:val="00950B24"/>
    <w:rsid w:val="009516F0"/>
    <w:rsid w:val="00952136"/>
    <w:rsid w:val="00953633"/>
    <w:rsid w:val="00953736"/>
    <w:rsid w:val="00954129"/>
    <w:rsid w:val="00954BAC"/>
    <w:rsid w:val="0095566C"/>
    <w:rsid w:val="009571D2"/>
    <w:rsid w:val="009571F7"/>
    <w:rsid w:val="00960645"/>
    <w:rsid w:val="009622BC"/>
    <w:rsid w:val="00962546"/>
    <w:rsid w:val="00963BF0"/>
    <w:rsid w:val="00964472"/>
    <w:rsid w:val="00964477"/>
    <w:rsid w:val="00966508"/>
    <w:rsid w:val="00966A00"/>
    <w:rsid w:val="00967EAF"/>
    <w:rsid w:val="0097086A"/>
    <w:rsid w:val="009709E5"/>
    <w:rsid w:val="00971855"/>
    <w:rsid w:val="0097414F"/>
    <w:rsid w:val="0097457D"/>
    <w:rsid w:val="00976E2A"/>
    <w:rsid w:val="00976F65"/>
    <w:rsid w:val="009776B9"/>
    <w:rsid w:val="00977EAD"/>
    <w:rsid w:val="009832E8"/>
    <w:rsid w:val="009843A1"/>
    <w:rsid w:val="00986FCD"/>
    <w:rsid w:val="00987787"/>
    <w:rsid w:val="00987CA7"/>
    <w:rsid w:val="009903DD"/>
    <w:rsid w:val="009907EE"/>
    <w:rsid w:val="0099215E"/>
    <w:rsid w:val="00992487"/>
    <w:rsid w:val="0099367E"/>
    <w:rsid w:val="00994654"/>
    <w:rsid w:val="0099536A"/>
    <w:rsid w:val="00995EFB"/>
    <w:rsid w:val="009A0B1E"/>
    <w:rsid w:val="009A1227"/>
    <w:rsid w:val="009A264C"/>
    <w:rsid w:val="009A2FD4"/>
    <w:rsid w:val="009A5A16"/>
    <w:rsid w:val="009A6C05"/>
    <w:rsid w:val="009A73FB"/>
    <w:rsid w:val="009B0020"/>
    <w:rsid w:val="009B0EC7"/>
    <w:rsid w:val="009B13BC"/>
    <w:rsid w:val="009B14B9"/>
    <w:rsid w:val="009B2211"/>
    <w:rsid w:val="009B2E79"/>
    <w:rsid w:val="009B4546"/>
    <w:rsid w:val="009B4AD0"/>
    <w:rsid w:val="009B5D7A"/>
    <w:rsid w:val="009B6B1A"/>
    <w:rsid w:val="009B7963"/>
    <w:rsid w:val="009B7D3F"/>
    <w:rsid w:val="009C0975"/>
    <w:rsid w:val="009C1298"/>
    <w:rsid w:val="009C6E62"/>
    <w:rsid w:val="009C7BB3"/>
    <w:rsid w:val="009D06D6"/>
    <w:rsid w:val="009D2D69"/>
    <w:rsid w:val="009D538E"/>
    <w:rsid w:val="009D6FF5"/>
    <w:rsid w:val="009D7DD5"/>
    <w:rsid w:val="009E3370"/>
    <w:rsid w:val="009E5962"/>
    <w:rsid w:val="009F01AC"/>
    <w:rsid w:val="009F227D"/>
    <w:rsid w:val="009F554D"/>
    <w:rsid w:val="009F62AC"/>
    <w:rsid w:val="009F6555"/>
    <w:rsid w:val="009F7765"/>
    <w:rsid w:val="00A02A11"/>
    <w:rsid w:val="00A06EA6"/>
    <w:rsid w:val="00A072EF"/>
    <w:rsid w:val="00A108B0"/>
    <w:rsid w:val="00A114C8"/>
    <w:rsid w:val="00A11DBE"/>
    <w:rsid w:val="00A12972"/>
    <w:rsid w:val="00A12F21"/>
    <w:rsid w:val="00A14AD3"/>
    <w:rsid w:val="00A17530"/>
    <w:rsid w:val="00A1781B"/>
    <w:rsid w:val="00A17F49"/>
    <w:rsid w:val="00A2470C"/>
    <w:rsid w:val="00A24812"/>
    <w:rsid w:val="00A25DA9"/>
    <w:rsid w:val="00A262FB"/>
    <w:rsid w:val="00A26532"/>
    <w:rsid w:val="00A32F04"/>
    <w:rsid w:val="00A33BD9"/>
    <w:rsid w:val="00A35555"/>
    <w:rsid w:val="00A359AF"/>
    <w:rsid w:val="00A35B73"/>
    <w:rsid w:val="00A3610A"/>
    <w:rsid w:val="00A3611F"/>
    <w:rsid w:val="00A361A6"/>
    <w:rsid w:val="00A40E3E"/>
    <w:rsid w:val="00A41DC9"/>
    <w:rsid w:val="00A42EFC"/>
    <w:rsid w:val="00A50263"/>
    <w:rsid w:val="00A516A6"/>
    <w:rsid w:val="00A517B1"/>
    <w:rsid w:val="00A525E2"/>
    <w:rsid w:val="00A529C4"/>
    <w:rsid w:val="00A52FC5"/>
    <w:rsid w:val="00A55C25"/>
    <w:rsid w:val="00A56168"/>
    <w:rsid w:val="00A57110"/>
    <w:rsid w:val="00A60916"/>
    <w:rsid w:val="00A61D77"/>
    <w:rsid w:val="00A63CA1"/>
    <w:rsid w:val="00A66038"/>
    <w:rsid w:val="00A667B6"/>
    <w:rsid w:val="00A66E2F"/>
    <w:rsid w:val="00A66E67"/>
    <w:rsid w:val="00A732E6"/>
    <w:rsid w:val="00A7457C"/>
    <w:rsid w:val="00A75693"/>
    <w:rsid w:val="00A7673B"/>
    <w:rsid w:val="00A76C76"/>
    <w:rsid w:val="00A772F0"/>
    <w:rsid w:val="00A81D1C"/>
    <w:rsid w:val="00A828A0"/>
    <w:rsid w:val="00A832D8"/>
    <w:rsid w:val="00A8469D"/>
    <w:rsid w:val="00A90B94"/>
    <w:rsid w:val="00A9147D"/>
    <w:rsid w:val="00A914ED"/>
    <w:rsid w:val="00A92512"/>
    <w:rsid w:val="00A93872"/>
    <w:rsid w:val="00A93A42"/>
    <w:rsid w:val="00A93EF9"/>
    <w:rsid w:val="00A953E2"/>
    <w:rsid w:val="00A96C69"/>
    <w:rsid w:val="00AA01F0"/>
    <w:rsid w:val="00AA0D5D"/>
    <w:rsid w:val="00AA2AEC"/>
    <w:rsid w:val="00AA2D42"/>
    <w:rsid w:val="00AA392B"/>
    <w:rsid w:val="00AA42A6"/>
    <w:rsid w:val="00AA4410"/>
    <w:rsid w:val="00AA7D09"/>
    <w:rsid w:val="00AB053D"/>
    <w:rsid w:val="00AB17FC"/>
    <w:rsid w:val="00AB1CA4"/>
    <w:rsid w:val="00AB3BB1"/>
    <w:rsid w:val="00AB5637"/>
    <w:rsid w:val="00AB7012"/>
    <w:rsid w:val="00AB732D"/>
    <w:rsid w:val="00AC2191"/>
    <w:rsid w:val="00AC34C3"/>
    <w:rsid w:val="00AC458F"/>
    <w:rsid w:val="00AC5255"/>
    <w:rsid w:val="00AC552C"/>
    <w:rsid w:val="00AC58D4"/>
    <w:rsid w:val="00AC6BC1"/>
    <w:rsid w:val="00AD067C"/>
    <w:rsid w:val="00AD0A36"/>
    <w:rsid w:val="00AD4D94"/>
    <w:rsid w:val="00AD7222"/>
    <w:rsid w:val="00AE20F5"/>
    <w:rsid w:val="00AE5766"/>
    <w:rsid w:val="00AF1904"/>
    <w:rsid w:val="00AF2135"/>
    <w:rsid w:val="00AF2E56"/>
    <w:rsid w:val="00AF2F8F"/>
    <w:rsid w:val="00AF33F0"/>
    <w:rsid w:val="00AF4F29"/>
    <w:rsid w:val="00AF686D"/>
    <w:rsid w:val="00B02F00"/>
    <w:rsid w:val="00B035C3"/>
    <w:rsid w:val="00B039FD"/>
    <w:rsid w:val="00B0439C"/>
    <w:rsid w:val="00B061B5"/>
    <w:rsid w:val="00B067BE"/>
    <w:rsid w:val="00B06BE8"/>
    <w:rsid w:val="00B07B99"/>
    <w:rsid w:val="00B10109"/>
    <w:rsid w:val="00B10DCB"/>
    <w:rsid w:val="00B11484"/>
    <w:rsid w:val="00B14603"/>
    <w:rsid w:val="00B15F48"/>
    <w:rsid w:val="00B17025"/>
    <w:rsid w:val="00B172AB"/>
    <w:rsid w:val="00B211F2"/>
    <w:rsid w:val="00B21527"/>
    <w:rsid w:val="00B217BF"/>
    <w:rsid w:val="00B27B65"/>
    <w:rsid w:val="00B301D1"/>
    <w:rsid w:val="00B30D50"/>
    <w:rsid w:val="00B31BAA"/>
    <w:rsid w:val="00B33F12"/>
    <w:rsid w:val="00B3455B"/>
    <w:rsid w:val="00B40941"/>
    <w:rsid w:val="00B42870"/>
    <w:rsid w:val="00B434FF"/>
    <w:rsid w:val="00B43CBE"/>
    <w:rsid w:val="00B44CAB"/>
    <w:rsid w:val="00B45453"/>
    <w:rsid w:val="00B45D89"/>
    <w:rsid w:val="00B47CD5"/>
    <w:rsid w:val="00B51E3E"/>
    <w:rsid w:val="00B52DBE"/>
    <w:rsid w:val="00B52EBF"/>
    <w:rsid w:val="00B54795"/>
    <w:rsid w:val="00B54C68"/>
    <w:rsid w:val="00B54D37"/>
    <w:rsid w:val="00B56A47"/>
    <w:rsid w:val="00B56E3B"/>
    <w:rsid w:val="00B60AD6"/>
    <w:rsid w:val="00B61C5B"/>
    <w:rsid w:val="00B634E2"/>
    <w:rsid w:val="00B63E5E"/>
    <w:rsid w:val="00B64209"/>
    <w:rsid w:val="00B65988"/>
    <w:rsid w:val="00B66428"/>
    <w:rsid w:val="00B70DE3"/>
    <w:rsid w:val="00B716B9"/>
    <w:rsid w:val="00B725EB"/>
    <w:rsid w:val="00B74101"/>
    <w:rsid w:val="00B7422E"/>
    <w:rsid w:val="00B74844"/>
    <w:rsid w:val="00B74D27"/>
    <w:rsid w:val="00B751B5"/>
    <w:rsid w:val="00B75495"/>
    <w:rsid w:val="00B75C2D"/>
    <w:rsid w:val="00B768EE"/>
    <w:rsid w:val="00B76999"/>
    <w:rsid w:val="00B81191"/>
    <w:rsid w:val="00B8534D"/>
    <w:rsid w:val="00B86011"/>
    <w:rsid w:val="00B86018"/>
    <w:rsid w:val="00B90AB1"/>
    <w:rsid w:val="00BA0695"/>
    <w:rsid w:val="00BA0FC7"/>
    <w:rsid w:val="00BA157C"/>
    <w:rsid w:val="00BB0D3A"/>
    <w:rsid w:val="00BB2AD3"/>
    <w:rsid w:val="00BB3AC9"/>
    <w:rsid w:val="00BB4A87"/>
    <w:rsid w:val="00BC439C"/>
    <w:rsid w:val="00BC4D9A"/>
    <w:rsid w:val="00BC5266"/>
    <w:rsid w:val="00BC6FD0"/>
    <w:rsid w:val="00BD280F"/>
    <w:rsid w:val="00BD5A73"/>
    <w:rsid w:val="00BD7332"/>
    <w:rsid w:val="00BD779B"/>
    <w:rsid w:val="00BD7C04"/>
    <w:rsid w:val="00BE0D13"/>
    <w:rsid w:val="00BE24F1"/>
    <w:rsid w:val="00BE2F11"/>
    <w:rsid w:val="00BE6B00"/>
    <w:rsid w:val="00BE7641"/>
    <w:rsid w:val="00BE7A7B"/>
    <w:rsid w:val="00BE7DF9"/>
    <w:rsid w:val="00BF1E85"/>
    <w:rsid w:val="00BF5F06"/>
    <w:rsid w:val="00BF665C"/>
    <w:rsid w:val="00C0263E"/>
    <w:rsid w:val="00C0765C"/>
    <w:rsid w:val="00C07A25"/>
    <w:rsid w:val="00C10A26"/>
    <w:rsid w:val="00C10C2F"/>
    <w:rsid w:val="00C1167D"/>
    <w:rsid w:val="00C137AD"/>
    <w:rsid w:val="00C15623"/>
    <w:rsid w:val="00C16579"/>
    <w:rsid w:val="00C23EFB"/>
    <w:rsid w:val="00C2490C"/>
    <w:rsid w:val="00C255FE"/>
    <w:rsid w:val="00C25AA5"/>
    <w:rsid w:val="00C26175"/>
    <w:rsid w:val="00C2755A"/>
    <w:rsid w:val="00C27761"/>
    <w:rsid w:val="00C3061F"/>
    <w:rsid w:val="00C31D51"/>
    <w:rsid w:val="00C3277B"/>
    <w:rsid w:val="00C32CFB"/>
    <w:rsid w:val="00C40D84"/>
    <w:rsid w:val="00C4183B"/>
    <w:rsid w:val="00C42C70"/>
    <w:rsid w:val="00C45972"/>
    <w:rsid w:val="00C474C8"/>
    <w:rsid w:val="00C476EC"/>
    <w:rsid w:val="00C519F9"/>
    <w:rsid w:val="00C5272B"/>
    <w:rsid w:val="00C52D2C"/>
    <w:rsid w:val="00C55E33"/>
    <w:rsid w:val="00C5622E"/>
    <w:rsid w:val="00C602BB"/>
    <w:rsid w:val="00C6196B"/>
    <w:rsid w:val="00C6258F"/>
    <w:rsid w:val="00C63222"/>
    <w:rsid w:val="00C663F8"/>
    <w:rsid w:val="00C720B1"/>
    <w:rsid w:val="00C77184"/>
    <w:rsid w:val="00C81194"/>
    <w:rsid w:val="00C815FD"/>
    <w:rsid w:val="00C82C1C"/>
    <w:rsid w:val="00C82EC3"/>
    <w:rsid w:val="00C82EDF"/>
    <w:rsid w:val="00C8311B"/>
    <w:rsid w:val="00C83846"/>
    <w:rsid w:val="00C84FF7"/>
    <w:rsid w:val="00C87D1E"/>
    <w:rsid w:val="00C93881"/>
    <w:rsid w:val="00C95578"/>
    <w:rsid w:val="00CA047B"/>
    <w:rsid w:val="00CA27F1"/>
    <w:rsid w:val="00CA33CE"/>
    <w:rsid w:val="00CA39F9"/>
    <w:rsid w:val="00CA6574"/>
    <w:rsid w:val="00CA753A"/>
    <w:rsid w:val="00CB0B16"/>
    <w:rsid w:val="00CB2253"/>
    <w:rsid w:val="00CB3B20"/>
    <w:rsid w:val="00CB5685"/>
    <w:rsid w:val="00CB620C"/>
    <w:rsid w:val="00CB7A6C"/>
    <w:rsid w:val="00CC0369"/>
    <w:rsid w:val="00CC2DEE"/>
    <w:rsid w:val="00CC64F6"/>
    <w:rsid w:val="00CC7D44"/>
    <w:rsid w:val="00CD1EA7"/>
    <w:rsid w:val="00CD2F8A"/>
    <w:rsid w:val="00CD596C"/>
    <w:rsid w:val="00CD5DFD"/>
    <w:rsid w:val="00CD6847"/>
    <w:rsid w:val="00CE113D"/>
    <w:rsid w:val="00CE4B83"/>
    <w:rsid w:val="00CE5D97"/>
    <w:rsid w:val="00CE662C"/>
    <w:rsid w:val="00CF3EE1"/>
    <w:rsid w:val="00CF404B"/>
    <w:rsid w:val="00CF6B83"/>
    <w:rsid w:val="00D01C5B"/>
    <w:rsid w:val="00D01D64"/>
    <w:rsid w:val="00D02764"/>
    <w:rsid w:val="00D03900"/>
    <w:rsid w:val="00D061EC"/>
    <w:rsid w:val="00D06ED6"/>
    <w:rsid w:val="00D109DD"/>
    <w:rsid w:val="00D12734"/>
    <w:rsid w:val="00D14631"/>
    <w:rsid w:val="00D14D50"/>
    <w:rsid w:val="00D16F31"/>
    <w:rsid w:val="00D17C02"/>
    <w:rsid w:val="00D17D3B"/>
    <w:rsid w:val="00D20032"/>
    <w:rsid w:val="00D22C39"/>
    <w:rsid w:val="00D24819"/>
    <w:rsid w:val="00D25CE5"/>
    <w:rsid w:val="00D26FDD"/>
    <w:rsid w:val="00D27AD3"/>
    <w:rsid w:val="00D27E69"/>
    <w:rsid w:val="00D326F5"/>
    <w:rsid w:val="00D32BCF"/>
    <w:rsid w:val="00D33A41"/>
    <w:rsid w:val="00D35E50"/>
    <w:rsid w:val="00D36521"/>
    <w:rsid w:val="00D36A54"/>
    <w:rsid w:val="00D36CCD"/>
    <w:rsid w:val="00D37942"/>
    <w:rsid w:val="00D37E8D"/>
    <w:rsid w:val="00D420FB"/>
    <w:rsid w:val="00D43B6A"/>
    <w:rsid w:val="00D44437"/>
    <w:rsid w:val="00D46BB6"/>
    <w:rsid w:val="00D508F3"/>
    <w:rsid w:val="00D5184B"/>
    <w:rsid w:val="00D5328E"/>
    <w:rsid w:val="00D53C32"/>
    <w:rsid w:val="00D54A89"/>
    <w:rsid w:val="00D57768"/>
    <w:rsid w:val="00D61107"/>
    <w:rsid w:val="00D64BAD"/>
    <w:rsid w:val="00D70D14"/>
    <w:rsid w:val="00D7264D"/>
    <w:rsid w:val="00D72F36"/>
    <w:rsid w:val="00D74EB0"/>
    <w:rsid w:val="00D753CF"/>
    <w:rsid w:val="00D75C4C"/>
    <w:rsid w:val="00D76E06"/>
    <w:rsid w:val="00D7789B"/>
    <w:rsid w:val="00D80261"/>
    <w:rsid w:val="00D837F5"/>
    <w:rsid w:val="00D85411"/>
    <w:rsid w:val="00D86D0F"/>
    <w:rsid w:val="00D9150D"/>
    <w:rsid w:val="00D96105"/>
    <w:rsid w:val="00DA0717"/>
    <w:rsid w:val="00DA1777"/>
    <w:rsid w:val="00DA1B65"/>
    <w:rsid w:val="00DA50E5"/>
    <w:rsid w:val="00DA53E6"/>
    <w:rsid w:val="00DA77C0"/>
    <w:rsid w:val="00DB075A"/>
    <w:rsid w:val="00DB0875"/>
    <w:rsid w:val="00DB1129"/>
    <w:rsid w:val="00DB1433"/>
    <w:rsid w:val="00DB3295"/>
    <w:rsid w:val="00DB3492"/>
    <w:rsid w:val="00DB7151"/>
    <w:rsid w:val="00DB7D6A"/>
    <w:rsid w:val="00DC116F"/>
    <w:rsid w:val="00DC2D64"/>
    <w:rsid w:val="00DC4AB6"/>
    <w:rsid w:val="00DC4F25"/>
    <w:rsid w:val="00DC4F32"/>
    <w:rsid w:val="00DC66A9"/>
    <w:rsid w:val="00DC744D"/>
    <w:rsid w:val="00DC7C0D"/>
    <w:rsid w:val="00DD21C1"/>
    <w:rsid w:val="00DD7378"/>
    <w:rsid w:val="00DE1B7F"/>
    <w:rsid w:val="00DE2501"/>
    <w:rsid w:val="00DE3308"/>
    <w:rsid w:val="00DE4D60"/>
    <w:rsid w:val="00DE6187"/>
    <w:rsid w:val="00DE79DA"/>
    <w:rsid w:val="00DF3CFE"/>
    <w:rsid w:val="00DF49D1"/>
    <w:rsid w:val="00DF4C6C"/>
    <w:rsid w:val="00E051D7"/>
    <w:rsid w:val="00E06088"/>
    <w:rsid w:val="00E06F4D"/>
    <w:rsid w:val="00E14DE2"/>
    <w:rsid w:val="00E1575A"/>
    <w:rsid w:val="00E16D79"/>
    <w:rsid w:val="00E16E29"/>
    <w:rsid w:val="00E2061A"/>
    <w:rsid w:val="00E21B2A"/>
    <w:rsid w:val="00E22281"/>
    <w:rsid w:val="00E23EFC"/>
    <w:rsid w:val="00E255BF"/>
    <w:rsid w:val="00E26114"/>
    <w:rsid w:val="00E26330"/>
    <w:rsid w:val="00E26866"/>
    <w:rsid w:val="00E3344A"/>
    <w:rsid w:val="00E342EA"/>
    <w:rsid w:val="00E36394"/>
    <w:rsid w:val="00E3766D"/>
    <w:rsid w:val="00E37933"/>
    <w:rsid w:val="00E41BEB"/>
    <w:rsid w:val="00E42BED"/>
    <w:rsid w:val="00E44186"/>
    <w:rsid w:val="00E44949"/>
    <w:rsid w:val="00E518BC"/>
    <w:rsid w:val="00E5191C"/>
    <w:rsid w:val="00E51A74"/>
    <w:rsid w:val="00E53BE0"/>
    <w:rsid w:val="00E54811"/>
    <w:rsid w:val="00E54CFA"/>
    <w:rsid w:val="00E55459"/>
    <w:rsid w:val="00E5763A"/>
    <w:rsid w:val="00E57F54"/>
    <w:rsid w:val="00E6031D"/>
    <w:rsid w:val="00E61311"/>
    <w:rsid w:val="00E63525"/>
    <w:rsid w:val="00E635F9"/>
    <w:rsid w:val="00E64CD2"/>
    <w:rsid w:val="00E6733F"/>
    <w:rsid w:val="00E7312C"/>
    <w:rsid w:val="00E7344C"/>
    <w:rsid w:val="00E74ADA"/>
    <w:rsid w:val="00E756A0"/>
    <w:rsid w:val="00E75AE8"/>
    <w:rsid w:val="00E81762"/>
    <w:rsid w:val="00E826C7"/>
    <w:rsid w:val="00E850B0"/>
    <w:rsid w:val="00E85BCF"/>
    <w:rsid w:val="00E86538"/>
    <w:rsid w:val="00E86E10"/>
    <w:rsid w:val="00E879DC"/>
    <w:rsid w:val="00E91BA2"/>
    <w:rsid w:val="00E92981"/>
    <w:rsid w:val="00E93F1E"/>
    <w:rsid w:val="00E95D26"/>
    <w:rsid w:val="00E96C7B"/>
    <w:rsid w:val="00EA0104"/>
    <w:rsid w:val="00EA0933"/>
    <w:rsid w:val="00EA1EF9"/>
    <w:rsid w:val="00EA4303"/>
    <w:rsid w:val="00EA5E60"/>
    <w:rsid w:val="00EA62BF"/>
    <w:rsid w:val="00EB2C92"/>
    <w:rsid w:val="00EB3347"/>
    <w:rsid w:val="00EB3451"/>
    <w:rsid w:val="00EB34FC"/>
    <w:rsid w:val="00EB4A99"/>
    <w:rsid w:val="00EB62C7"/>
    <w:rsid w:val="00EB69F3"/>
    <w:rsid w:val="00EC0ED8"/>
    <w:rsid w:val="00EC3766"/>
    <w:rsid w:val="00EC5821"/>
    <w:rsid w:val="00EC6158"/>
    <w:rsid w:val="00EC7DE8"/>
    <w:rsid w:val="00ED31B6"/>
    <w:rsid w:val="00ED6F31"/>
    <w:rsid w:val="00ED6FCA"/>
    <w:rsid w:val="00EE23C2"/>
    <w:rsid w:val="00EE5277"/>
    <w:rsid w:val="00EF0873"/>
    <w:rsid w:val="00EF0C24"/>
    <w:rsid w:val="00EF3574"/>
    <w:rsid w:val="00EF4B9C"/>
    <w:rsid w:val="00EF52F5"/>
    <w:rsid w:val="00EF5B3F"/>
    <w:rsid w:val="00EF7650"/>
    <w:rsid w:val="00EF7DC6"/>
    <w:rsid w:val="00F0668D"/>
    <w:rsid w:val="00F06850"/>
    <w:rsid w:val="00F1180F"/>
    <w:rsid w:val="00F13E4F"/>
    <w:rsid w:val="00F14828"/>
    <w:rsid w:val="00F17E16"/>
    <w:rsid w:val="00F20816"/>
    <w:rsid w:val="00F20871"/>
    <w:rsid w:val="00F2268F"/>
    <w:rsid w:val="00F23C04"/>
    <w:rsid w:val="00F31249"/>
    <w:rsid w:val="00F3291F"/>
    <w:rsid w:val="00F32F40"/>
    <w:rsid w:val="00F41C86"/>
    <w:rsid w:val="00F45BAF"/>
    <w:rsid w:val="00F47629"/>
    <w:rsid w:val="00F533C2"/>
    <w:rsid w:val="00F53B5D"/>
    <w:rsid w:val="00F543CC"/>
    <w:rsid w:val="00F56BE0"/>
    <w:rsid w:val="00F57FF4"/>
    <w:rsid w:val="00F62988"/>
    <w:rsid w:val="00F62FEE"/>
    <w:rsid w:val="00F63B56"/>
    <w:rsid w:val="00F63E72"/>
    <w:rsid w:val="00F65550"/>
    <w:rsid w:val="00F655E7"/>
    <w:rsid w:val="00F6770A"/>
    <w:rsid w:val="00F7062F"/>
    <w:rsid w:val="00F7239B"/>
    <w:rsid w:val="00F72789"/>
    <w:rsid w:val="00F731AB"/>
    <w:rsid w:val="00F73D82"/>
    <w:rsid w:val="00F74C06"/>
    <w:rsid w:val="00F76A94"/>
    <w:rsid w:val="00F820AA"/>
    <w:rsid w:val="00F8740A"/>
    <w:rsid w:val="00F9094B"/>
    <w:rsid w:val="00F90C6E"/>
    <w:rsid w:val="00F911EF"/>
    <w:rsid w:val="00F923D3"/>
    <w:rsid w:val="00F939C1"/>
    <w:rsid w:val="00F944B9"/>
    <w:rsid w:val="00F94BF3"/>
    <w:rsid w:val="00F966FC"/>
    <w:rsid w:val="00FA0E4C"/>
    <w:rsid w:val="00FA120E"/>
    <w:rsid w:val="00FA18E2"/>
    <w:rsid w:val="00FA26A1"/>
    <w:rsid w:val="00FA2EC9"/>
    <w:rsid w:val="00FA4491"/>
    <w:rsid w:val="00FA4ADB"/>
    <w:rsid w:val="00FA65A1"/>
    <w:rsid w:val="00FA6AEC"/>
    <w:rsid w:val="00FA7E34"/>
    <w:rsid w:val="00FB542D"/>
    <w:rsid w:val="00FB5884"/>
    <w:rsid w:val="00FC0151"/>
    <w:rsid w:val="00FC1355"/>
    <w:rsid w:val="00FC136F"/>
    <w:rsid w:val="00FC2286"/>
    <w:rsid w:val="00FC296A"/>
    <w:rsid w:val="00FC4D08"/>
    <w:rsid w:val="00FC566C"/>
    <w:rsid w:val="00FC71E9"/>
    <w:rsid w:val="00FD1098"/>
    <w:rsid w:val="00FD1873"/>
    <w:rsid w:val="00FD1C09"/>
    <w:rsid w:val="00FD4405"/>
    <w:rsid w:val="00FD5A32"/>
    <w:rsid w:val="00FD5EBB"/>
    <w:rsid w:val="00FD6B49"/>
    <w:rsid w:val="00FE32BE"/>
    <w:rsid w:val="00FE4CBE"/>
    <w:rsid w:val="00FE4E53"/>
    <w:rsid w:val="00FF0140"/>
    <w:rsid w:val="00FF259C"/>
    <w:rsid w:val="00FF277E"/>
    <w:rsid w:val="00FF466A"/>
    <w:rsid w:val="00FF5464"/>
    <w:rsid w:val="00FF627D"/>
    <w:rsid w:val="00FF7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F087"/>
  <w15:docId w15:val="{F53C4B97-E664-4A7C-9952-629506A0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nl-NL" w:eastAsia="nl-NL"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pPr>
      <w:spacing w:after="200" w:line="276" w:lineRule="auto"/>
    </w:pPr>
    <w:rPr>
      <w:sz w:val="22"/>
    </w:rPr>
  </w:style>
  <w:style w:type="paragraph" w:styleId="Heading1">
    <w:name w:val="heading 1"/>
    <w:basedOn w:val="Normal"/>
    <w:next w:val="Normal"/>
    <w:uiPriority w:val="9"/>
    <w:qFormat/>
    <w:pPr>
      <w:keepNext/>
      <w:keepLines/>
      <w:numPr>
        <w:numId w:val="12"/>
      </w:numPr>
      <w:spacing w:before="480" w:after="0"/>
      <w:outlineLvl w:val="0"/>
    </w:pPr>
    <w:rPr>
      <w:rFonts w:ascii="Cambria" w:hAnsi="Cambria" w:cs="Times New Roman"/>
      <w:b/>
      <w:color w:val="365F91"/>
      <w:sz w:val="28"/>
    </w:rPr>
  </w:style>
  <w:style w:type="paragraph" w:styleId="Heading2">
    <w:name w:val="heading 2"/>
    <w:aliases w:val="H2,H21,H24,H25,H26,H211,H241,H251"/>
    <w:next w:val="Normal"/>
    <w:link w:val="Heading2Char1"/>
    <w:uiPriority w:val="9"/>
    <w:qFormat/>
    <w:pPr>
      <w:keepNext/>
      <w:keepLines/>
      <w:numPr>
        <w:ilvl w:val="1"/>
        <w:numId w:val="12"/>
      </w:numPr>
      <w:spacing w:before="200"/>
      <w:outlineLvl w:val="1"/>
    </w:pPr>
    <w:rPr>
      <w:rFonts w:ascii="Cambria" w:hAnsi="Cambria" w:cs="Times New Roman"/>
      <w:color w:val="4F81BD"/>
      <w:sz w:val="26"/>
    </w:rPr>
  </w:style>
  <w:style w:type="paragraph" w:styleId="Heading3">
    <w:name w:val="heading 3"/>
    <w:aliases w:val="numbered,H3,H31,H34,H35,H36,H311,H341,H351"/>
    <w:basedOn w:val="Normal"/>
    <w:next w:val="Normal"/>
    <w:uiPriority w:val="9"/>
    <w:qFormat/>
    <w:pPr>
      <w:keepNext/>
      <w:keepLines/>
      <w:numPr>
        <w:ilvl w:val="2"/>
        <w:numId w:val="12"/>
      </w:numPr>
      <w:spacing w:before="200" w:after="0"/>
      <w:outlineLvl w:val="2"/>
    </w:pPr>
    <w:rPr>
      <w:rFonts w:ascii="Cambria" w:hAnsi="Cambria" w:cs="Times New Roman"/>
      <w:b/>
      <w:color w:val="4F81BD"/>
      <w:lang w:val="en-US"/>
    </w:rPr>
  </w:style>
  <w:style w:type="paragraph" w:styleId="Heading4">
    <w:name w:val="heading 4"/>
    <w:aliases w:val="H4"/>
    <w:basedOn w:val="Normal"/>
    <w:next w:val="Normal"/>
    <w:link w:val="Heading4Char1"/>
    <w:uiPriority w:val="9"/>
    <w:qFormat/>
    <w:pPr>
      <w:keepNext/>
      <w:keepLines/>
      <w:numPr>
        <w:ilvl w:val="3"/>
        <w:numId w:val="12"/>
      </w:numPr>
      <w:spacing w:before="200" w:after="0"/>
      <w:outlineLvl w:val="3"/>
    </w:pPr>
    <w:rPr>
      <w:rFonts w:ascii="Cambria" w:eastAsia="Times New Roman" w:hAnsi="Cambria" w:cs="Times New Roman"/>
      <w:b/>
      <w:i/>
      <w:color w:val="4F81BD"/>
      <w:lang w:val="en-GB"/>
    </w:rPr>
  </w:style>
  <w:style w:type="paragraph" w:styleId="Heading5">
    <w:name w:val="heading 5"/>
    <w:basedOn w:val="Normal"/>
    <w:next w:val="Normal"/>
    <w:uiPriority w:val="9"/>
    <w:qFormat/>
    <w:pPr>
      <w:keepNext/>
      <w:keepLines/>
      <w:numPr>
        <w:ilvl w:val="4"/>
        <w:numId w:val="12"/>
      </w:numPr>
      <w:spacing w:before="200" w:after="0"/>
      <w:outlineLvl w:val="4"/>
    </w:pPr>
    <w:rPr>
      <w:rFonts w:ascii="Cambria" w:eastAsia="Times New Roman" w:hAnsi="Cambria" w:cs="Times New Roman"/>
      <w:color w:val="243F60"/>
      <w:lang w:val="en-GB"/>
    </w:rPr>
  </w:style>
  <w:style w:type="paragraph" w:styleId="Heading6">
    <w:name w:val="heading 6"/>
    <w:basedOn w:val="Normal"/>
    <w:next w:val="Normal"/>
    <w:uiPriority w:val="9"/>
    <w:qFormat/>
    <w:pPr>
      <w:keepNext/>
      <w:keepLines/>
      <w:numPr>
        <w:ilvl w:val="5"/>
        <w:numId w:val="12"/>
      </w:numPr>
      <w:spacing w:before="200" w:after="0"/>
      <w:outlineLvl w:val="5"/>
    </w:pPr>
    <w:rPr>
      <w:rFonts w:ascii="Cambria" w:eastAsia="Times New Roman" w:hAnsi="Cambria" w:cs="Times New Roman"/>
      <w:i/>
      <w:color w:val="243F60"/>
    </w:rPr>
  </w:style>
  <w:style w:type="paragraph" w:styleId="Heading7">
    <w:name w:val="heading 7"/>
    <w:basedOn w:val="Normal"/>
    <w:next w:val="Normal"/>
    <w:uiPriority w:val="9"/>
    <w:qFormat/>
    <w:pPr>
      <w:keepNext/>
      <w:keepLines/>
      <w:numPr>
        <w:ilvl w:val="6"/>
        <w:numId w:val="12"/>
      </w:numPr>
      <w:spacing w:before="200" w:after="0"/>
      <w:outlineLvl w:val="6"/>
    </w:pPr>
    <w:rPr>
      <w:rFonts w:ascii="Cambria" w:eastAsia="Times New Roman" w:hAnsi="Cambria" w:cs="Times New Roman"/>
      <w:i/>
      <w:color w:val="404040"/>
    </w:rPr>
  </w:style>
  <w:style w:type="paragraph" w:styleId="Heading8">
    <w:name w:val="heading 8"/>
    <w:basedOn w:val="Normal"/>
    <w:next w:val="Normal"/>
    <w:uiPriority w:val="9"/>
    <w:qFormat/>
    <w:pPr>
      <w:keepNext/>
      <w:keepLines/>
      <w:numPr>
        <w:ilvl w:val="7"/>
        <w:numId w:val="12"/>
      </w:numPr>
      <w:spacing w:before="200" w:after="0"/>
      <w:outlineLvl w:val="7"/>
    </w:pPr>
    <w:rPr>
      <w:rFonts w:ascii="Cambria" w:eastAsia="Times New Roman" w:hAnsi="Cambria" w:cs="Times New Roman"/>
      <w:color w:val="404040"/>
      <w:sz w:val="20"/>
    </w:rPr>
  </w:style>
  <w:style w:type="paragraph" w:styleId="Heading9">
    <w:name w:val="heading 9"/>
    <w:aliases w:val="(App. Title)"/>
    <w:basedOn w:val="Normal"/>
    <w:next w:val="Normal"/>
    <w:uiPriority w:val="9"/>
    <w:qFormat/>
    <w:pPr>
      <w:keepNext/>
      <w:keepLines/>
      <w:numPr>
        <w:ilvl w:val="8"/>
        <w:numId w:val="12"/>
      </w:numPr>
      <w:spacing w:before="200" w:after="0"/>
      <w:outlineLvl w:val="8"/>
    </w:pPr>
    <w:rPr>
      <w:rFonts w:ascii="Cambria" w:eastAsia="Times New Roman" w:hAnsi="Cambria" w:cs="Times New Roman"/>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uiPriority w:val="9"/>
    <w:rPr>
      <w:rFonts w:ascii="Cambria" w:eastAsia="Times New Roman" w:hAnsi="Cambria" w:cs="Times New Roman"/>
      <w:i/>
      <w:color w:val="404040"/>
    </w:rPr>
  </w:style>
  <w:style w:type="character" w:customStyle="1" w:styleId="Heading4Char">
    <w:name w:val="Heading 4 Char"/>
    <w:aliases w:val="H4 Char"/>
    <w:basedOn w:val="DefaultParagraphFont"/>
    <w:uiPriority w:val="9"/>
    <w:rPr>
      <w:rFonts w:ascii="Cambria" w:eastAsia="Times New Roman" w:hAnsi="Cambria" w:cs="Times New Roman"/>
      <w:b/>
      <w:i/>
      <w:color w:val="4F81BD"/>
    </w:rPr>
  </w:style>
  <w:style w:type="paragraph" w:styleId="NormalWeb">
    <w:name w:val="Normal (Web)"/>
    <w:basedOn w:val="Normal"/>
    <w:uiPriority w:val="99"/>
    <w:pPr>
      <w:spacing w:before="100" w:after="100" w:line="240" w:lineRule="auto"/>
    </w:pPr>
    <w:rPr>
      <w:rFonts w:ascii="Times New Roman" w:eastAsia="Calibri" w:hAnsi="Times New Roman" w:cs="Times New Roman"/>
      <w:sz w:val="24"/>
    </w:rPr>
  </w:style>
  <w:style w:type="paragraph" w:styleId="TOCHeading">
    <w:name w:val="TOC Heading"/>
    <w:basedOn w:val="Heading1"/>
    <w:next w:val="Normal"/>
    <w:uiPriority w:val="39"/>
    <w:qFormat/>
  </w:style>
  <w:style w:type="paragraph" w:styleId="Quote">
    <w:name w:val="Quote"/>
    <w:basedOn w:val="Normal"/>
    <w:next w:val="Normal"/>
    <w:uiPriority w:val="29"/>
    <w:qFormat/>
    <w:rPr>
      <w:i/>
      <w:color w:val="000000"/>
    </w:rPr>
  </w:style>
  <w:style w:type="character" w:styleId="FootnoteReference">
    <w:name w:val="footnote reference"/>
    <w:rPr>
      <w:position w:val="0"/>
      <w:vertAlign w:val="superscript"/>
    </w:rPr>
  </w:style>
  <w:style w:type="paragraph" w:styleId="TOC2">
    <w:name w:val="toc 2"/>
    <w:basedOn w:val="Normal"/>
    <w:next w:val="Normal"/>
    <w:uiPriority w:val="39"/>
    <w:pPr>
      <w:spacing w:after="100"/>
      <w:ind w:left="220"/>
    </w:pPr>
  </w:style>
  <w:style w:type="paragraph" w:styleId="Subtitle">
    <w:name w:val="Subtitle"/>
    <w:basedOn w:val="Normal"/>
    <w:next w:val="Normal"/>
    <w:uiPriority w:val="11"/>
    <w:qFormat/>
    <w:rPr>
      <w:rFonts w:ascii="Cambria" w:eastAsia="Times New Roman" w:hAnsi="Cambria" w:cs="Times New Roman"/>
      <w:i/>
      <w:color w:val="4F81BD"/>
      <w:spacing w:val="15"/>
      <w:sz w:val="24"/>
    </w:rPr>
  </w:style>
  <w:style w:type="paragraph" w:customStyle="1" w:styleId="Default">
    <w:name w:val="Default"/>
    <w:uiPriority w:val="99"/>
    <w:rPr>
      <w:rFonts w:ascii="EUAlbertina" w:hAnsi="EUAlbertina" w:cs="EUAlbertina"/>
      <w:color w:val="000000"/>
      <w:sz w:val="24"/>
    </w:rPr>
  </w:style>
  <w:style w:type="character" w:customStyle="1" w:styleId="KoptekstChar">
    <w:name w:val="Koptekst Char"/>
    <w:basedOn w:val="DefaultParagraphFont"/>
    <w:uiPriority w:val="99"/>
  </w:style>
  <w:style w:type="character" w:customStyle="1" w:styleId="EndnoteTextChar">
    <w:name w:val="Endnote Text Char"/>
    <w:uiPriority w:val="99"/>
    <w:rPr>
      <w:sz w:val="20"/>
    </w:rPr>
  </w:style>
  <w:style w:type="character" w:customStyle="1" w:styleId="SubtitleChar">
    <w:name w:val="Subtitle Char"/>
    <w:basedOn w:val="DefaultParagraphFont"/>
    <w:uiPriority w:val="11"/>
    <w:rPr>
      <w:rFonts w:ascii="Cambria" w:eastAsia="Times New Roman" w:hAnsi="Cambria" w:cs="Times New Roman"/>
      <w:i/>
      <w:color w:val="4F81BD"/>
      <w:spacing w:val="15"/>
      <w:sz w:val="24"/>
    </w:rPr>
  </w:style>
  <w:style w:type="paragraph" w:styleId="EndnoteText">
    <w:name w:val="endnote text"/>
    <w:basedOn w:val="Normal"/>
    <w:uiPriority w:val="99"/>
    <w:pPr>
      <w:spacing w:after="0" w:line="240" w:lineRule="auto"/>
    </w:pPr>
    <w:rPr>
      <w:sz w:val="20"/>
    </w:rPr>
  </w:style>
  <w:style w:type="character" w:styleId="SubtleReference">
    <w:name w:val="Subtle Reference"/>
    <w:basedOn w:val="DefaultParagraphFont"/>
    <w:uiPriority w:val="31"/>
    <w:qFormat/>
    <w:rPr>
      <w:smallCaps/>
      <w:color w:val="C0504D"/>
      <w:u w:val="single"/>
    </w:rPr>
  </w:style>
  <w:style w:type="character" w:customStyle="1" w:styleId="Heading2Char">
    <w:name w:val="Heading 2 Char"/>
    <w:aliases w:val="H2 Char,H21 Char,H24 Char,H25 Char,H26 Char,H211 Char,H241 Char,H251 Char"/>
    <w:uiPriority w:val="9"/>
    <w:rPr>
      <w:rFonts w:ascii="Cambria" w:hAnsi="Cambria" w:cs="Times New Roman"/>
      <w:color w:val="4F81BD"/>
      <w:sz w:val="26"/>
      <w:lang w:val="nl-NL" w:eastAsia="nl-NL"/>
    </w:rPr>
  </w:style>
  <w:style w:type="character" w:customStyle="1" w:styleId="IntenseQuoteChar">
    <w:name w:val="Intense Quote Char"/>
    <w:basedOn w:val="DefaultParagraphFont"/>
    <w:uiPriority w:val="30"/>
    <w:rPr>
      <w:b/>
      <w:i/>
      <w:color w:val="4F81BD"/>
    </w:rPr>
  </w:style>
  <w:style w:type="paragraph" w:styleId="Header">
    <w:name w:val="header"/>
    <w:basedOn w:val="Normal"/>
    <w:pPr>
      <w:tabs>
        <w:tab w:val="center" w:pos="4252"/>
        <w:tab w:val="right" w:pos="8504"/>
      </w:tabs>
      <w:spacing w:after="0" w:line="240" w:lineRule="auto"/>
    </w:pPr>
  </w:style>
  <w:style w:type="character" w:customStyle="1" w:styleId="FootnoteTextChar">
    <w:name w:val="Footnote Text Char"/>
    <w:rPr>
      <w:sz w:val="20"/>
    </w:rPr>
  </w:style>
  <w:style w:type="character" w:customStyle="1" w:styleId="St">
    <w:name w:val="St"/>
    <w:basedOn w:val="DefaultParagraphFont"/>
    <w:uiPriority w:val="99"/>
  </w:style>
  <w:style w:type="character" w:styleId="Hyperlink">
    <w:name w:val="Hyperlink"/>
    <w:uiPriority w:val="99"/>
    <w:rPr>
      <w:color w:val="0000FF"/>
      <w:u w:val="single"/>
    </w:rPr>
  </w:style>
  <w:style w:type="paragraph" w:styleId="TOC1">
    <w:name w:val="toc 1"/>
    <w:basedOn w:val="Normal"/>
    <w:next w:val="Normal"/>
    <w:uiPriority w:val="39"/>
    <w:pPr>
      <w:spacing w:after="100"/>
    </w:pPr>
  </w:style>
  <w:style w:type="character" w:customStyle="1" w:styleId="ListParagraphChar">
    <w:name w:val="List Paragraph Char"/>
    <w:basedOn w:val="DefaultParagraphFont"/>
    <w:uiPriority w:val="34"/>
  </w:style>
  <w:style w:type="paragraph" w:styleId="CommentText">
    <w:name w:val="annotation text"/>
    <w:basedOn w:val="Normal"/>
    <w:uiPriority w:val="99"/>
    <w:pPr>
      <w:spacing w:line="240" w:lineRule="auto"/>
    </w:pPr>
    <w:rPr>
      <w:sz w:val="20"/>
    </w:rPr>
  </w:style>
  <w:style w:type="character" w:styleId="IntenseReference">
    <w:name w:val="Intense Reference"/>
    <w:basedOn w:val="DefaultParagraphFont"/>
    <w:uiPriority w:val="32"/>
    <w:qFormat/>
    <w:rPr>
      <w:b/>
      <w:smallCaps/>
      <w:color w:val="C0504D"/>
      <w:spacing w:val="5"/>
      <w:u w:val="single"/>
    </w:rPr>
  </w:style>
  <w:style w:type="paragraph" w:styleId="Footer">
    <w:name w:val="footer"/>
    <w:basedOn w:val="Normal"/>
    <w:pPr>
      <w:tabs>
        <w:tab w:val="center" w:pos="4252"/>
        <w:tab w:val="right" w:pos="8504"/>
      </w:tabs>
      <w:spacing w:after="0" w:line="240" w:lineRule="auto"/>
    </w:pPr>
  </w:style>
  <w:style w:type="paragraph" w:styleId="NoSpacing">
    <w:name w:val="No Spacing"/>
    <w:link w:val="NoSpacingChar1"/>
    <w:uiPriority w:val="1"/>
    <w:qFormat/>
    <w:rPr>
      <w:sz w:val="22"/>
    </w:rPr>
  </w:style>
  <w:style w:type="paragraph" w:customStyle="1" w:styleId="CM1">
    <w:name w:val="CM1"/>
    <w:basedOn w:val="Normal"/>
    <w:next w:val="Normal"/>
    <w:uiPriority w:val="99"/>
    <w:pPr>
      <w:spacing w:after="0" w:line="240" w:lineRule="auto"/>
    </w:pPr>
    <w:rPr>
      <w:rFonts w:ascii="EUAlbertina" w:hAnsi="EUAlbertina"/>
      <w:sz w:val="24"/>
    </w:rPr>
  </w:style>
  <w:style w:type="character" w:styleId="Emphasis">
    <w:name w:val="Emphasis"/>
    <w:uiPriority w:val="20"/>
    <w:qFormat/>
    <w:rPr>
      <w:i/>
    </w:rPr>
  </w:style>
  <w:style w:type="character" w:customStyle="1" w:styleId="CommentTextChar">
    <w:name w:val="Comment Text Char"/>
    <w:rPr>
      <w:sz w:val="20"/>
    </w:rPr>
  </w:style>
  <w:style w:type="character" w:customStyle="1" w:styleId="Heading5Char">
    <w:name w:val="Heading 5 Char"/>
    <w:basedOn w:val="DefaultParagraphFont"/>
    <w:uiPriority w:val="9"/>
    <w:rPr>
      <w:rFonts w:ascii="Cambria" w:eastAsia="Times New Roman" w:hAnsi="Cambria" w:cs="Times New Roman"/>
      <w:color w:val="243F60"/>
    </w:rPr>
  </w:style>
  <w:style w:type="character" w:customStyle="1" w:styleId="PlainTextChar">
    <w:name w:val="Plain Text Char"/>
    <w:basedOn w:val="DefaultParagraphFont"/>
    <w:uiPriority w:val="99"/>
    <w:rPr>
      <w:rFonts w:ascii="Courier New" w:hAnsi="Courier New" w:cs="Courier New"/>
      <w:sz w:val="21"/>
    </w:rPr>
  </w:style>
  <w:style w:type="character" w:styleId="SubtleEmphasis">
    <w:name w:val="Subtle Emphasis"/>
    <w:basedOn w:val="DefaultParagraphFont"/>
    <w:uiPriority w:val="19"/>
    <w:qFormat/>
    <w:rPr>
      <w:i/>
      <w:color w:val="808080"/>
    </w:rPr>
  </w:style>
  <w:style w:type="character" w:customStyle="1" w:styleId="CommentSubjectChar">
    <w:name w:val="Comment Subject Char"/>
    <w:rPr>
      <w:b/>
      <w:sz w:val="20"/>
    </w:rPr>
  </w:style>
  <w:style w:type="character" w:customStyle="1" w:styleId="QuoteChar">
    <w:name w:val="Quote Char"/>
    <w:basedOn w:val="DefaultParagraphFont"/>
    <w:uiPriority w:val="29"/>
    <w:rPr>
      <w:i/>
      <w:color w:val="000000"/>
    </w:rPr>
  </w:style>
  <w:style w:type="paragraph" w:styleId="PlainText">
    <w:name w:val="Plain Text"/>
    <w:basedOn w:val="Normal"/>
    <w:uiPriority w:val="99"/>
    <w:pPr>
      <w:spacing w:after="0" w:line="240" w:lineRule="auto"/>
    </w:pPr>
    <w:rPr>
      <w:rFonts w:ascii="Courier New" w:hAnsi="Courier New" w:cs="Courier New"/>
      <w:sz w:val="21"/>
    </w:rPr>
  </w:style>
  <w:style w:type="paragraph" w:customStyle="1" w:styleId="CM3">
    <w:name w:val="CM3"/>
    <w:basedOn w:val="Normal"/>
    <w:next w:val="Normal"/>
    <w:uiPriority w:val="99"/>
    <w:pPr>
      <w:spacing w:after="0" w:line="240" w:lineRule="auto"/>
    </w:pPr>
    <w:rPr>
      <w:rFonts w:ascii="EUAlbertina" w:hAnsi="EUAlbertina"/>
      <w:sz w:val="24"/>
    </w:rPr>
  </w:style>
  <w:style w:type="paragraph" w:styleId="FootnoteText">
    <w:name w:val="footnote text"/>
    <w:basedOn w:val="Normal"/>
    <w:pPr>
      <w:spacing w:after="0" w:line="240" w:lineRule="auto"/>
    </w:pPr>
    <w:rPr>
      <w:sz w:val="20"/>
    </w:rPr>
  </w:style>
  <w:style w:type="paragraph" w:styleId="BalloonText">
    <w:name w:val="Balloon Text"/>
    <w:basedOn w:val="Normal"/>
    <w:pPr>
      <w:spacing w:after="0" w:line="240" w:lineRule="auto"/>
    </w:pPr>
    <w:rPr>
      <w:rFonts w:ascii="Tahoma" w:hAnsi="Tahoma" w:cs="Tahoma"/>
      <w:sz w:val="16"/>
    </w:rPr>
  </w:style>
  <w:style w:type="character" w:customStyle="1" w:styleId="Heading1Char">
    <w:name w:val="Heading 1 Char"/>
    <w:uiPriority w:val="9"/>
    <w:rPr>
      <w:rFonts w:ascii="Cambria" w:eastAsia="SimSun" w:hAnsi="Cambria" w:cs="Times New Roman"/>
      <w:b/>
      <w:color w:val="365F91"/>
      <w:sz w:val="28"/>
    </w:rPr>
  </w:style>
  <w:style w:type="character" w:customStyle="1" w:styleId="Heading3Char">
    <w:name w:val="Heading 3 Char"/>
    <w:aliases w:val="numbered Char,H3 Char,H31 Char,H34 Char,H35 Char,H36 Char,H311 Char,H341 Char,H351 Char"/>
    <w:uiPriority w:val="9"/>
    <w:rPr>
      <w:rFonts w:ascii="Cambria" w:hAnsi="Cambria" w:cs="Times New Roman"/>
      <w:b/>
      <w:color w:val="4F81BD"/>
      <w:sz w:val="22"/>
      <w:lang w:val="en-US" w:eastAsia="nl-NL"/>
    </w:rPr>
  </w:style>
  <w:style w:type="character" w:customStyle="1" w:styleId="FooterChar">
    <w:name w:val="Footer Char"/>
    <w:basedOn w:val="DefaultParagraphFont"/>
  </w:style>
  <w:style w:type="character" w:customStyle="1" w:styleId="TitleChar">
    <w:name w:val="Title Char"/>
    <w:basedOn w:val="DefaultParagraphFont"/>
    <w:uiPriority w:val="10"/>
    <w:rPr>
      <w:rFonts w:ascii="Cambria" w:eastAsia="Times New Roman" w:hAnsi="Cambria" w:cs="Times New Roman"/>
      <w:color w:val="17365D"/>
      <w:spacing w:val="5"/>
      <w:sz w:val="52"/>
    </w:rPr>
  </w:style>
  <w:style w:type="paragraph" w:styleId="EnvelopeAddress">
    <w:name w:val="envelope address"/>
    <w:basedOn w:val="Normal"/>
    <w:uiPriority w:val="99"/>
    <w:pPr>
      <w:spacing w:after="0" w:line="240" w:lineRule="auto"/>
      <w:ind w:left="2880"/>
    </w:pPr>
    <w:rPr>
      <w:rFonts w:ascii="Cambria" w:eastAsia="Times New Roman" w:hAnsi="Cambria" w:cs="Times New Roman"/>
      <w:sz w:val="24"/>
    </w:rPr>
  </w:style>
  <w:style w:type="character" w:styleId="Strong">
    <w:name w:val="Strong"/>
    <w:uiPriority w:val="22"/>
    <w:qFormat/>
    <w:rPr>
      <w:b/>
    </w:rPr>
  </w:style>
  <w:style w:type="character" w:styleId="EndnoteReference">
    <w:name w:val="endnote reference"/>
    <w:uiPriority w:val="99"/>
    <w:rPr>
      <w:position w:val="0"/>
      <w:vertAlign w:val="superscript"/>
    </w:rPr>
  </w:style>
  <w:style w:type="paragraph" w:styleId="EnvelopeReturn">
    <w:name w:val="envelope return"/>
    <w:basedOn w:val="Normal"/>
    <w:uiPriority w:val="99"/>
    <w:pPr>
      <w:spacing w:after="0" w:line="240" w:lineRule="auto"/>
    </w:pPr>
    <w:rPr>
      <w:rFonts w:ascii="Cambria" w:eastAsia="Times New Roman" w:hAnsi="Cambria" w:cs="Times New Roman"/>
      <w:sz w:val="20"/>
    </w:rPr>
  </w:style>
  <w:style w:type="character" w:customStyle="1" w:styleId="BalloonTextChar">
    <w:name w:val="Balloon Text Char"/>
    <w:rPr>
      <w:rFonts w:ascii="Tahoma" w:hAnsi="Tahoma" w:cs="Tahoma"/>
      <w:sz w:val="16"/>
    </w:rPr>
  </w:style>
  <w:style w:type="character" w:customStyle="1" w:styleId="Heading8Char">
    <w:name w:val="Heading 8 Char"/>
    <w:basedOn w:val="DefaultParagraphFont"/>
    <w:uiPriority w:val="9"/>
    <w:rPr>
      <w:rFonts w:ascii="Cambria" w:eastAsia="Times New Roman" w:hAnsi="Cambria" w:cs="Times New Roman"/>
      <w:color w:val="404040"/>
      <w:sz w:val="20"/>
    </w:rPr>
  </w:style>
  <w:style w:type="paragraph" w:styleId="CommentSubject">
    <w:name w:val="annotation subject"/>
    <w:basedOn w:val="CommentText"/>
    <w:next w:val="CommentText"/>
    <w:rPr>
      <w:b/>
    </w:rPr>
  </w:style>
  <w:style w:type="character" w:customStyle="1" w:styleId="Heading9Char">
    <w:name w:val="Heading 9 Char"/>
    <w:aliases w:val="(App. Title) Char"/>
    <w:basedOn w:val="DefaultParagraphFont"/>
    <w:uiPriority w:val="9"/>
    <w:rPr>
      <w:rFonts w:ascii="Cambria" w:eastAsia="Times New Roman" w:hAnsi="Cambria" w:cs="Times New Roman"/>
      <w:i/>
      <w:color w:val="404040"/>
      <w:sz w:val="20"/>
    </w:rPr>
  </w:style>
  <w:style w:type="paragraph" w:styleId="ListParagraph">
    <w:name w:val="List Paragraph"/>
    <w:basedOn w:val="Normal"/>
    <w:uiPriority w:val="34"/>
    <w:qFormat/>
    <w:pPr>
      <w:ind w:left="720"/>
    </w:pPr>
  </w:style>
  <w:style w:type="character" w:styleId="IntenseEmphasis">
    <w:name w:val="Intense Emphasis"/>
    <w:basedOn w:val="DefaultParagraphFont"/>
    <w:uiPriority w:val="21"/>
    <w:qFormat/>
    <w:rPr>
      <w:b/>
      <w:i/>
      <w:color w:val="4F81BD"/>
    </w:rPr>
  </w:style>
  <w:style w:type="character" w:customStyle="1" w:styleId="NoSpacingChar">
    <w:name w:val="No Spacing Char"/>
    <w:uiPriority w:val="99"/>
    <w:rPr>
      <w:sz w:val="22"/>
      <w:lang w:val="nl-NL" w:eastAsia="nl-NL"/>
    </w:rPr>
  </w:style>
  <w:style w:type="character" w:customStyle="1" w:styleId="Heading6Char">
    <w:name w:val="Heading 6 Char"/>
    <w:basedOn w:val="DefaultParagraphFont"/>
    <w:uiPriority w:val="9"/>
    <w:rPr>
      <w:rFonts w:ascii="Cambria" w:eastAsia="Times New Roman" w:hAnsi="Cambria" w:cs="Times New Roman"/>
      <w:i/>
      <w:color w:val="243F60"/>
    </w:rPr>
  </w:style>
  <w:style w:type="character" w:styleId="CommentReference">
    <w:name w:val="annotation reference"/>
    <w:uiPriority w:val="99"/>
    <w:rPr>
      <w:sz w:val="16"/>
    </w:rPr>
  </w:style>
  <w:style w:type="paragraph" w:styleId="TOC3">
    <w:name w:val="toc 3"/>
    <w:basedOn w:val="Normal"/>
    <w:next w:val="Normal"/>
    <w:uiPriority w:val="39"/>
    <w:pPr>
      <w:ind w:left="440"/>
    </w:pPr>
  </w:style>
  <w:style w:type="character" w:styleId="BookTitle">
    <w:name w:val="Book Title"/>
    <w:basedOn w:val="DefaultParagraphFont"/>
    <w:uiPriority w:val="33"/>
    <w:qFormat/>
    <w:rPr>
      <w:b/>
      <w:smallCaps/>
      <w:spacing w:val="5"/>
    </w:rPr>
  </w:style>
  <w:style w:type="paragraph" w:styleId="Title">
    <w:name w:val="Title"/>
    <w:basedOn w:val="Normal"/>
    <w:next w:val="Normal"/>
    <w:uiPriority w:val="10"/>
    <w:qFormat/>
    <w:pPr>
      <w:spacing w:after="300" w:line="240" w:lineRule="auto"/>
    </w:pPr>
    <w:rPr>
      <w:rFonts w:ascii="Cambria" w:eastAsia="Times New Roman" w:hAnsi="Cambria" w:cs="Times New Roman"/>
      <w:color w:val="17365D"/>
      <w:spacing w:val="5"/>
      <w:sz w:val="52"/>
    </w:rPr>
  </w:style>
  <w:style w:type="paragraph" w:styleId="Revision">
    <w:name w:val="Revision"/>
    <w:uiPriority w:val="99"/>
    <w:rPr>
      <w:sz w:val="22"/>
    </w:rPr>
  </w:style>
  <w:style w:type="character" w:customStyle="1" w:styleId="HeaderChar">
    <w:name w:val="Header Char"/>
    <w:basedOn w:val="DefaultParagraphFont"/>
  </w:style>
  <w:style w:type="character" w:styleId="FollowedHyperlink">
    <w:name w:val="FollowedHyperlink"/>
    <w:uiPriority w:val="99"/>
    <w:rPr>
      <w:color w:val="800080"/>
      <w:u w:val="single"/>
    </w:rPr>
  </w:style>
  <w:style w:type="paragraph" w:styleId="IntenseQuote">
    <w:name w:val="Intense Quote"/>
    <w:basedOn w:val="Normal"/>
    <w:next w:val="Normal"/>
    <w:uiPriority w:val="30"/>
    <w:qFormat/>
    <w:pPr>
      <w:spacing w:before="200" w:after="280"/>
      <w:ind w:left="936" w:right="936"/>
    </w:pPr>
    <w:rPr>
      <w:b/>
      <w:i/>
      <w:color w:val="4F81BD"/>
    </w:rPr>
  </w:style>
  <w:style w:type="character" w:customStyle="1" w:styleId="UnresolvedMention1">
    <w:name w:val="Unresolved Mention1"/>
    <w:basedOn w:val="DefaultParagraphFont"/>
    <w:uiPriority w:val="99"/>
    <w:rPr>
      <w:color w:val="808080"/>
      <w:shd w:val="clear" w:color="auto" w:fill="E6E6E6"/>
    </w:rPr>
  </w:style>
  <w:style w:type="paragraph" w:customStyle="1" w:styleId="Font0">
    <w:name w:val="Font0"/>
    <w:basedOn w:val="Normal"/>
    <w:uiPriority w:val="99"/>
    <w:pPr>
      <w:spacing w:before="100" w:after="100" w:line="240" w:lineRule="auto"/>
    </w:pPr>
    <w:rPr>
      <w:rFonts w:ascii="Verdana" w:eastAsia="Times New Roman" w:hAnsi="Verdana" w:cs="Times New Roman"/>
      <w:color w:val="000000"/>
      <w:sz w:val="20"/>
      <w:lang w:val="de-AT" w:eastAsia="de-AT"/>
    </w:rPr>
  </w:style>
  <w:style w:type="paragraph" w:customStyle="1" w:styleId="Font5">
    <w:name w:val="Font5"/>
    <w:basedOn w:val="Normal"/>
    <w:uiPriority w:val="99"/>
    <w:pPr>
      <w:spacing w:before="100" w:after="100" w:line="240" w:lineRule="auto"/>
    </w:pPr>
    <w:rPr>
      <w:rFonts w:eastAsia="Times New Roman" w:cs="Times New Roman"/>
      <w:szCs w:val="22"/>
      <w:lang w:val="de-AT" w:eastAsia="de-AT"/>
    </w:rPr>
  </w:style>
  <w:style w:type="paragraph" w:customStyle="1" w:styleId="Font6">
    <w:name w:val="Font6"/>
    <w:basedOn w:val="Normal"/>
    <w:uiPriority w:val="99"/>
    <w:pPr>
      <w:spacing w:before="100" w:after="100" w:line="240" w:lineRule="auto"/>
    </w:pPr>
    <w:rPr>
      <w:rFonts w:eastAsia="Times New Roman" w:cs="Times New Roman"/>
      <w:i/>
      <w:iCs/>
      <w:color w:val="000000"/>
      <w:szCs w:val="22"/>
      <w:lang w:val="de-AT" w:eastAsia="de-AT"/>
    </w:rPr>
  </w:style>
  <w:style w:type="paragraph" w:customStyle="1" w:styleId="Font7">
    <w:name w:val="Font7"/>
    <w:basedOn w:val="Normal"/>
    <w:uiPriority w:val="99"/>
    <w:pPr>
      <w:spacing w:before="100" w:after="100" w:line="240" w:lineRule="auto"/>
    </w:pPr>
    <w:rPr>
      <w:rFonts w:eastAsia="Times New Roman" w:cs="Times New Roman"/>
      <w:b/>
      <w:bCs/>
      <w:color w:val="000000"/>
      <w:szCs w:val="22"/>
      <w:lang w:val="de-AT" w:eastAsia="de-AT"/>
    </w:rPr>
  </w:style>
  <w:style w:type="paragraph" w:customStyle="1" w:styleId="Font8">
    <w:name w:val="Font8"/>
    <w:basedOn w:val="Normal"/>
    <w:uiPriority w:val="99"/>
    <w:pPr>
      <w:spacing w:before="100" w:after="100" w:line="240" w:lineRule="auto"/>
    </w:pPr>
    <w:rPr>
      <w:rFonts w:ascii="Segoe UI" w:eastAsia="Times New Roman" w:hAnsi="Segoe UI" w:cs="Segoe UI"/>
      <w:b/>
      <w:bCs/>
      <w:color w:val="000000"/>
      <w:sz w:val="18"/>
      <w:szCs w:val="18"/>
      <w:lang w:val="de-AT" w:eastAsia="de-AT"/>
    </w:rPr>
  </w:style>
  <w:style w:type="paragraph" w:customStyle="1" w:styleId="Font9">
    <w:name w:val="Font9"/>
    <w:basedOn w:val="Normal"/>
    <w:uiPriority w:val="99"/>
    <w:pPr>
      <w:spacing w:before="100" w:after="100" w:line="240" w:lineRule="auto"/>
    </w:pPr>
    <w:rPr>
      <w:rFonts w:ascii="Segoe UI" w:eastAsia="Times New Roman" w:hAnsi="Segoe UI" w:cs="Segoe UI"/>
      <w:color w:val="000000"/>
      <w:sz w:val="18"/>
      <w:szCs w:val="18"/>
      <w:lang w:val="de-AT" w:eastAsia="de-AT"/>
    </w:rPr>
  </w:style>
  <w:style w:type="paragraph" w:customStyle="1" w:styleId="Xl66">
    <w:name w:val="Xl66"/>
    <w:basedOn w:val="Normal"/>
    <w:uiPriority w:val="99"/>
    <w:pPr>
      <w:pBdr>
        <w:top w:val="single" w:sz="8" w:space="0" w:color="000000"/>
        <w:left w:val="single" w:sz="8" w:space="0" w:color="000000"/>
        <w:bottom w:val="single" w:sz="8" w:space="0" w:color="000000"/>
        <w:right w:val="single" w:sz="8" w:space="0" w:color="000000"/>
      </w:pBdr>
      <w:spacing w:before="100" w:after="100" w:line="240" w:lineRule="auto"/>
    </w:pPr>
    <w:rPr>
      <w:rFonts w:eastAsia="Times New Roman" w:cs="Times New Roman"/>
      <w:szCs w:val="22"/>
      <w:lang w:val="de-AT" w:eastAsia="de-AT"/>
    </w:rPr>
  </w:style>
  <w:style w:type="paragraph" w:customStyle="1" w:styleId="Xl67">
    <w:name w:val="Xl67"/>
    <w:basedOn w:val="Normal"/>
    <w:uiPriority w:val="99"/>
    <w:pPr>
      <w:pBdr>
        <w:top w:val="single" w:sz="8" w:space="0" w:color="000000"/>
        <w:left w:val="single" w:sz="8" w:space="0" w:color="000000"/>
        <w:bottom w:val="single" w:sz="8" w:space="0" w:color="000000"/>
        <w:right w:val="single" w:sz="8" w:space="0" w:color="000000"/>
      </w:pBdr>
      <w:spacing w:before="100" w:after="100" w:line="240" w:lineRule="auto"/>
    </w:pPr>
    <w:rPr>
      <w:rFonts w:eastAsia="Times New Roman" w:cs="Times New Roman"/>
      <w:szCs w:val="22"/>
      <w:lang w:val="de-AT" w:eastAsia="de-AT"/>
    </w:rPr>
  </w:style>
  <w:style w:type="paragraph" w:customStyle="1" w:styleId="Xl68">
    <w:name w:val="Xl68"/>
    <w:basedOn w:val="Normal"/>
    <w:uiPriority w:val="99"/>
    <w:pPr>
      <w:pBdr>
        <w:top w:val="single" w:sz="8" w:space="0" w:color="000000"/>
        <w:left w:val="single" w:sz="8" w:space="0" w:color="000000"/>
        <w:bottom w:val="single" w:sz="8" w:space="0" w:color="000000"/>
        <w:right w:val="single" w:sz="8" w:space="0" w:color="000000"/>
      </w:pBdr>
      <w:shd w:val="clear" w:color="auto" w:fill="C6E0B4"/>
      <w:spacing w:before="100" w:after="100" w:line="240" w:lineRule="auto"/>
      <w:jc w:val="center"/>
    </w:pPr>
    <w:rPr>
      <w:rFonts w:eastAsia="Times New Roman" w:cs="Times New Roman"/>
      <w:b/>
      <w:bCs/>
      <w:szCs w:val="22"/>
      <w:lang w:val="de-AT" w:eastAsia="de-AT"/>
    </w:rPr>
  </w:style>
  <w:style w:type="paragraph" w:customStyle="1" w:styleId="Xl69">
    <w:name w:val="Xl69"/>
    <w:basedOn w:val="Normal"/>
    <w:uiPriority w:val="99"/>
    <w:pPr>
      <w:pBdr>
        <w:top w:val="single" w:sz="8" w:space="0" w:color="000000"/>
        <w:left w:val="single" w:sz="8" w:space="0" w:color="000000"/>
        <w:bottom w:val="single" w:sz="8" w:space="0" w:color="000000"/>
        <w:right w:val="single" w:sz="8" w:space="0" w:color="000000"/>
      </w:pBdr>
      <w:shd w:val="clear" w:color="auto" w:fill="C6E0B4"/>
      <w:spacing w:before="100" w:after="100" w:line="240" w:lineRule="auto"/>
    </w:pPr>
    <w:rPr>
      <w:rFonts w:eastAsia="Times New Roman" w:cs="Times New Roman"/>
      <w:b/>
      <w:bCs/>
      <w:szCs w:val="22"/>
      <w:lang w:val="de-AT" w:eastAsia="de-AT"/>
    </w:rPr>
  </w:style>
  <w:style w:type="paragraph" w:customStyle="1" w:styleId="Xl70">
    <w:name w:val="Xl70"/>
    <w:basedOn w:val="Normal"/>
    <w:uiPriority w:val="99"/>
    <w:pPr>
      <w:pBdr>
        <w:top w:val="single" w:sz="8" w:space="0" w:color="000000"/>
        <w:left w:val="single" w:sz="8" w:space="0" w:color="000000"/>
        <w:bottom w:val="single" w:sz="8" w:space="0" w:color="000000"/>
        <w:right w:val="single" w:sz="8" w:space="0" w:color="000000"/>
      </w:pBdr>
      <w:shd w:val="clear" w:color="auto" w:fill="C6E0B4"/>
      <w:spacing w:before="100" w:after="100" w:line="240" w:lineRule="auto"/>
      <w:jc w:val="center"/>
    </w:pPr>
    <w:rPr>
      <w:rFonts w:eastAsia="Times New Roman" w:cs="Times New Roman"/>
      <w:b/>
      <w:bCs/>
      <w:szCs w:val="22"/>
      <w:lang w:val="de-AT" w:eastAsia="de-AT"/>
    </w:rPr>
  </w:style>
  <w:style w:type="paragraph" w:customStyle="1" w:styleId="Xl71">
    <w:name w:val="Xl71"/>
    <w:basedOn w:val="Normal"/>
    <w:uiPriority w:val="99"/>
    <w:pPr>
      <w:pBdr>
        <w:top w:val="single" w:sz="8" w:space="0" w:color="000000"/>
        <w:left w:val="single" w:sz="8" w:space="0" w:color="000000"/>
        <w:bottom w:val="single" w:sz="8" w:space="0" w:color="000000"/>
        <w:right w:val="single" w:sz="8" w:space="0" w:color="000000"/>
      </w:pBdr>
      <w:shd w:val="clear" w:color="auto" w:fill="C6E0B4"/>
      <w:spacing w:before="100" w:after="100" w:line="240" w:lineRule="auto"/>
      <w:jc w:val="center"/>
    </w:pPr>
    <w:rPr>
      <w:rFonts w:eastAsia="Times New Roman" w:cs="Times New Roman"/>
      <w:b/>
      <w:bCs/>
      <w:szCs w:val="22"/>
      <w:lang w:val="de-AT" w:eastAsia="de-AT"/>
    </w:rPr>
  </w:style>
  <w:style w:type="paragraph" w:customStyle="1" w:styleId="Xl72">
    <w:name w:val="Xl72"/>
    <w:basedOn w:val="Normal"/>
    <w:uiPriority w:val="99"/>
    <w:pPr>
      <w:pBdr>
        <w:top w:val="single" w:sz="8" w:space="0" w:color="000000"/>
        <w:left w:val="single" w:sz="8" w:space="0" w:color="000000"/>
        <w:bottom w:val="single" w:sz="8" w:space="0" w:color="000000"/>
        <w:right w:val="single" w:sz="8" w:space="0" w:color="000000"/>
      </w:pBdr>
      <w:shd w:val="clear" w:color="auto" w:fill="C6E0B4"/>
      <w:spacing w:before="100" w:after="100" w:line="240" w:lineRule="auto"/>
      <w:jc w:val="center"/>
    </w:pPr>
    <w:rPr>
      <w:rFonts w:eastAsia="Times New Roman" w:cs="Times New Roman"/>
      <w:b/>
      <w:bCs/>
      <w:szCs w:val="22"/>
      <w:lang w:val="de-AT" w:eastAsia="de-AT"/>
    </w:rPr>
  </w:style>
  <w:style w:type="paragraph" w:customStyle="1" w:styleId="Xl73">
    <w:name w:val="Xl73"/>
    <w:basedOn w:val="Normal"/>
    <w:uiPriority w:val="99"/>
    <w:pPr>
      <w:pBdr>
        <w:top w:val="single" w:sz="8" w:space="0" w:color="000000"/>
        <w:left w:val="single" w:sz="8" w:space="0" w:color="000000"/>
        <w:bottom w:val="single" w:sz="8" w:space="0" w:color="000000"/>
        <w:right w:val="single" w:sz="8" w:space="0" w:color="000000"/>
      </w:pBdr>
      <w:shd w:val="clear" w:color="auto" w:fill="C6E0B4"/>
      <w:spacing w:before="100" w:after="100" w:line="240" w:lineRule="auto"/>
      <w:jc w:val="center"/>
    </w:pPr>
    <w:rPr>
      <w:rFonts w:eastAsia="Times New Roman" w:cs="Times New Roman"/>
      <w:b/>
      <w:bCs/>
      <w:szCs w:val="22"/>
      <w:lang w:val="de-AT" w:eastAsia="de-AT"/>
    </w:rPr>
  </w:style>
  <w:style w:type="paragraph" w:customStyle="1" w:styleId="Xl74">
    <w:name w:val="Xl74"/>
    <w:basedOn w:val="Normal"/>
    <w:uiPriority w:val="99"/>
    <w:pPr>
      <w:pBdr>
        <w:top w:val="single" w:sz="8" w:space="0" w:color="000000"/>
        <w:left w:val="single" w:sz="8" w:space="0" w:color="000000"/>
        <w:bottom w:val="single" w:sz="8" w:space="0" w:color="000000"/>
        <w:right w:val="single" w:sz="8" w:space="0" w:color="000000"/>
      </w:pBdr>
      <w:spacing w:before="100" w:after="100" w:line="240" w:lineRule="auto"/>
    </w:pPr>
    <w:rPr>
      <w:rFonts w:eastAsia="Times New Roman" w:cs="Times New Roman"/>
      <w:szCs w:val="22"/>
      <w:lang w:val="de-AT" w:eastAsia="de-AT"/>
    </w:rPr>
  </w:style>
  <w:style w:type="paragraph" w:customStyle="1" w:styleId="Xl75">
    <w:name w:val="Xl75"/>
    <w:basedOn w:val="Normal"/>
    <w:uiPriority w:val="99"/>
    <w:pPr>
      <w:pBdr>
        <w:top w:val="single" w:sz="8" w:space="0" w:color="000000"/>
        <w:left w:val="single" w:sz="8" w:space="0" w:color="000000"/>
        <w:bottom w:val="single" w:sz="8" w:space="0" w:color="000000"/>
        <w:right w:val="single" w:sz="8" w:space="0" w:color="000000"/>
      </w:pBdr>
      <w:spacing w:before="100" w:after="100" w:line="240" w:lineRule="auto"/>
    </w:pPr>
    <w:rPr>
      <w:rFonts w:eastAsia="Times New Roman" w:cs="Times New Roman"/>
      <w:szCs w:val="22"/>
      <w:lang w:val="de-AT" w:eastAsia="de-AT"/>
    </w:rPr>
  </w:style>
  <w:style w:type="paragraph" w:customStyle="1" w:styleId="Xl76">
    <w:name w:val="Xl76"/>
    <w:basedOn w:val="Normal"/>
    <w:uiPriority w:val="99"/>
    <w:pPr>
      <w:pBdr>
        <w:top w:val="single" w:sz="8" w:space="0" w:color="000000"/>
        <w:left w:val="single" w:sz="8" w:space="0" w:color="000000"/>
        <w:bottom w:val="single" w:sz="8" w:space="0" w:color="000000"/>
        <w:right w:val="single" w:sz="8" w:space="0" w:color="000000"/>
      </w:pBdr>
      <w:shd w:val="clear" w:color="auto" w:fill="FFFFFF"/>
      <w:spacing w:before="100" w:after="100" w:line="240" w:lineRule="auto"/>
    </w:pPr>
    <w:rPr>
      <w:rFonts w:eastAsia="Times New Roman" w:cs="Times New Roman"/>
      <w:szCs w:val="22"/>
      <w:lang w:val="de-AT" w:eastAsia="de-AT"/>
    </w:rPr>
  </w:style>
  <w:style w:type="paragraph" w:customStyle="1" w:styleId="Xl77">
    <w:name w:val="Xl77"/>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78">
    <w:name w:val="Xl78"/>
    <w:basedOn w:val="Normal"/>
    <w:uiPriority w:val="99"/>
    <w:pPr>
      <w:spacing w:before="100" w:after="100" w:line="240" w:lineRule="auto"/>
    </w:pPr>
    <w:rPr>
      <w:rFonts w:eastAsia="Times New Roman" w:cs="Times New Roman"/>
      <w:szCs w:val="22"/>
      <w:lang w:val="de-AT" w:eastAsia="de-AT"/>
    </w:rPr>
  </w:style>
  <w:style w:type="paragraph" w:customStyle="1" w:styleId="Xl79">
    <w:name w:val="Xl79"/>
    <w:basedOn w:val="Normal"/>
    <w:uiPriority w:val="99"/>
    <w:pPr>
      <w:pBdr>
        <w:top w:val="single" w:sz="4" w:space="0" w:color="000000"/>
        <w:left w:val="single" w:sz="4" w:space="0" w:color="000000"/>
        <w:bottom w:val="single" w:sz="4" w:space="0" w:color="000000"/>
        <w:right w:val="single" w:sz="4" w:space="0" w:color="000000"/>
      </w:pBdr>
      <w:shd w:val="clear" w:color="auto" w:fill="C6E0B4"/>
      <w:spacing w:before="100" w:after="100" w:line="240" w:lineRule="auto"/>
      <w:jc w:val="center"/>
    </w:pPr>
    <w:rPr>
      <w:rFonts w:eastAsia="Times New Roman" w:cs="Times New Roman"/>
      <w:szCs w:val="22"/>
      <w:lang w:val="de-AT" w:eastAsia="de-AT"/>
    </w:rPr>
  </w:style>
  <w:style w:type="paragraph" w:customStyle="1" w:styleId="Xl80">
    <w:name w:val="Xl80"/>
    <w:basedOn w:val="Normal"/>
    <w:uiPriority w:val="99"/>
    <w:pPr>
      <w:shd w:val="clear" w:color="auto" w:fill="C6E0B4"/>
      <w:spacing w:before="100" w:after="100" w:line="240" w:lineRule="auto"/>
      <w:jc w:val="center"/>
    </w:pPr>
    <w:rPr>
      <w:rFonts w:eastAsia="Times New Roman" w:cs="Times New Roman"/>
      <w:szCs w:val="22"/>
      <w:lang w:val="de-AT" w:eastAsia="de-AT"/>
    </w:rPr>
  </w:style>
  <w:style w:type="paragraph" w:customStyle="1" w:styleId="Xl81">
    <w:name w:val="Xl81"/>
    <w:basedOn w:val="Normal"/>
    <w:uiPriority w:val="99"/>
    <w:pPr>
      <w:shd w:val="clear" w:color="auto" w:fill="C6E0B4"/>
      <w:spacing w:before="100" w:after="100" w:line="240" w:lineRule="auto"/>
      <w:jc w:val="center"/>
    </w:pPr>
    <w:rPr>
      <w:rFonts w:eastAsia="Times New Roman" w:cs="Times New Roman"/>
      <w:szCs w:val="22"/>
      <w:lang w:val="de-AT" w:eastAsia="de-AT"/>
    </w:rPr>
  </w:style>
  <w:style w:type="paragraph" w:customStyle="1" w:styleId="Xl82">
    <w:name w:val="Xl82"/>
    <w:basedOn w:val="Normal"/>
    <w:uiPriority w:val="99"/>
    <w:pPr>
      <w:shd w:val="clear" w:color="auto" w:fill="C6E0B4"/>
      <w:spacing w:before="100" w:after="100" w:line="240" w:lineRule="auto"/>
      <w:jc w:val="center"/>
    </w:pPr>
    <w:rPr>
      <w:rFonts w:eastAsia="Times New Roman" w:cs="Times New Roman"/>
      <w:szCs w:val="22"/>
      <w:lang w:val="de-AT" w:eastAsia="de-AT"/>
    </w:rPr>
  </w:style>
  <w:style w:type="paragraph" w:customStyle="1" w:styleId="Xl83">
    <w:name w:val="Xl83"/>
    <w:basedOn w:val="Normal"/>
    <w:uiPriority w:val="99"/>
    <w:pPr>
      <w:pBdr>
        <w:top w:val="single" w:sz="4" w:space="0" w:color="000000"/>
        <w:left w:val="single" w:sz="4" w:space="0" w:color="000000"/>
        <w:bottom w:val="single" w:sz="4" w:space="0" w:color="000000"/>
        <w:right w:val="single" w:sz="4" w:space="0" w:color="000000"/>
      </w:pBdr>
      <w:shd w:val="clear" w:color="auto" w:fill="C6E0B4"/>
      <w:spacing w:before="100" w:after="100" w:line="240" w:lineRule="auto"/>
      <w:jc w:val="center"/>
    </w:pPr>
    <w:rPr>
      <w:rFonts w:eastAsia="Times New Roman" w:cs="Times New Roman"/>
      <w:szCs w:val="22"/>
      <w:lang w:val="de-AT" w:eastAsia="de-AT"/>
    </w:rPr>
  </w:style>
  <w:style w:type="paragraph" w:customStyle="1" w:styleId="Xl84">
    <w:name w:val="Xl84"/>
    <w:basedOn w:val="Normal"/>
    <w:uiPriority w:val="99"/>
    <w:pPr>
      <w:pBdr>
        <w:top w:val="single" w:sz="4" w:space="0" w:color="000000"/>
        <w:left w:val="single" w:sz="4" w:space="0" w:color="000000"/>
        <w:bottom w:val="single" w:sz="4" w:space="0" w:color="000000"/>
        <w:right w:val="single" w:sz="4" w:space="0" w:color="000000"/>
      </w:pBdr>
      <w:shd w:val="clear" w:color="auto" w:fill="C6E0B4"/>
      <w:spacing w:before="100" w:after="100" w:line="240" w:lineRule="auto"/>
      <w:jc w:val="center"/>
    </w:pPr>
    <w:rPr>
      <w:rFonts w:eastAsia="Times New Roman" w:cs="Times New Roman"/>
      <w:szCs w:val="22"/>
      <w:lang w:val="de-AT" w:eastAsia="de-AT"/>
    </w:rPr>
  </w:style>
  <w:style w:type="paragraph" w:customStyle="1" w:styleId="Xl85">
    <w:name w:val="Xl85"/>
    <w:basedOn w:val="Normal"/>
    <w:uiPriority w:val="99"/>
    <w:pPr>
      <w:shd w:val="clear" w:color="auto" w:fill="C6E0B4"/>
      <w:spacing w:before="100" w:after="100" w:line="240" w:lineRule="auto"/>
      <w:jc w:val="center"/>
    </w:pPr>
    <w:rPr>
      <w:rFonts w:eastAsia="Times New Roman" w:cs="Times New Roman"/>
      <w:szCs w:val="22"/>
      <w:lang w:val="de-AT" w:eastAsia="de-AT"/>
    </w:rPr>
  </w:style>
  <w:style w:type="paragraph" w:customStyle="1" w:styleId="Xl86">
    <w:name w:val="Xl86"/>
    <w:basedOn w:val="Normal"/>
    <w:uiPriority w:val="99"/>
    <w:pPr>
      <w:pBdr>
        <w:top w:val="single" w:sz="4" w:space="0" w:color="000000"/>
        <w:left w:val="single" w:sz="4" w:space="0" w:color="000000"/>
        <w:bottom w:val="single" w:sz="4" w:space="0" w:color="000000"/>
        <w:right w:val="single" w:sz="4" w:space="0" w:color="000000"/>
      </w:pBdr>
      <w:shd w:val="clear" w:color="auto" w:fill="C6E0B4"/>
      <w:spacing w:before="100" w:after="100" w:line="240" w:lineRule="auto"/>
      <w:jc w:val="center"/>
    </w:pPr>
    <w:rPr>
      <w:rFonts w:eastAsia="Times New Roman" w:cs="Times New Roman"/>
      <w:szCs w:val="22"/>
      <w:lang w:val="de-AT" w:eastAsia="de-AT"/>
    </w:rPr>
  </w:style>
  <w:style w:type="paragraph" w:customStyle="1" w:styleId="Xl87">
    <w:name w:val="Xl87"/>
    <w:basedOn w:val="Normal"/>
    <w:uiPriority w:val="99"/>
    <w:pPr>
      <w:pBdr>
        <w:top w:val="single" w:sz="4" w:space="0" w:color="000000"/>
        <w:left w:val="single" w:sz="4" w:space="0" w:color="000000"/>
        <w:bottom w:val="single" w:sz="4" w:space="0" w:color="000000"/>
        <w:right w:val="single" w:sz="4" w:space="0" w:color="000000"/>
      </w:pBdr>
      <w:shd w:val="clear" w:color="auto" w:fill="C6E0B4"/>
      <w:spacing w:before="100" w:after="100" w:line="240" w:lineRule="auto"/>
      <w:jc w:val="center"/>
    </w:pPr>
    <w:rPr>
      <w:rFonts w:eastAsia="Times New Roman" w:cs="Times New Roman"/>
      <w:szCs w:val="22"/>
      <w:lang w:val="de-AT" w:eastAsia="de-AT"/>
    </w:rPr>
  </w:style>
  <w:style w:type="paragraph" w:customStyle="1" w:styleId="Xl88">
    <w:name w:val="Xl88"/>
    <w:basedOn w:val="Normal"/>
    <w:uiPriority w:val="99"/>
    <w:pPr>
      <w:pBdr>
        <w:top w:val="single" w:sz="4" w:space="0" w:color="000000"/>
        <w:left w:val="single" w:sz="4" w:space="0" w:color="000000"/>
        <w:bottom w:val="single" w:sz="4" w:space="0" w:color="000000"/>
        <w:right w:val="single" w:sz="4" w:space="0" w:color="000000"/>
      </w:pBdr>
      <w:shd w:val="clear" w:color="auto" w:fill="C6E0B4"/>
      <w:spacing w:before="100" w:after="100" w:line="240" w:lineRule="auto"/>
      <w:jc w:val="center"/>
    </w:pPr>
    <w:rPr>
      <w:rFonts w:eastAsia="Times New Roman" w:cs="Times New Roman"/>
      <w:szCs w:val="22"/>
      <w:lang w:val="de-AT" w:eastAsia="de-AT"/>
    </w:rPr>
  </w:style>
  <w:style w:type="paragraph" w:customStyle="1" w:styleId="Xl89">
    <w:name w:val="Xl89"/>
    <w:basedOn w:val="Normal"/>
    <w:uiPriority w:val="99"/>
    <w:pPr>
      <w:pBdr>
        <w:top w:val="single" w:sz="4" w:space="0" w:color="000000"/>
        <w:left w:val="single" w:sz="4" w:space="0" w:color="000000"/>
        <w:bottom w:val="single" w:sz="4" w:space="0" w:color="000000"/>
        <w:right w:val="single" w:sz="4" w:space="0" w:color="000000"/>
      </w:pBdr>
      <w:shd w:val="clear" w:color="auto" w:fill="C6E0B4"/>
      <w:spacing w:before="100" w:after="100" w:line="240" w:lineRule="auto"/>
      <w:jc w:val="center"/>
    </w:pPr>
    <w:rPr>
      <w:rFonts w:eastAsia="Times New Roman" w:cs="Times New Roman"/>
      <w:szCs w:val="22"/>
      <w:lang w:val="de-AT" w:eastAsia="de-AT"/>
    </w:rPr>
  </w:style>
  <w:style w:type="paragraph" w:customStyle="1" w:styleId="Xl90">
    <w:name w:val="Xl90"/>
    <w:basedOn w:val="Normal"/>
    <w:uiPriority w:val="99"/>
    <w:pPr>
      <w:spacing w:before="100" w:after="100" w:line="240" w:lineRule="auto"/>
    </w:pPr>
    <w:rPr>
      <w:rFonts w:eastAsia="Times New Roman" w:cs="Times New Roman"/>
      <w:szCs w:val="22"/>
      <w:lang w:val="de-AT" w:eastAsia="de-AT"/>
    </w:rPr>
  </w:style>
  <w:style w:type="paragraph" w:customStyle="1" w:styleId="Xl91">
    <w:name w:val="Xl91"/>
    <w:basedOn w:val="Normal"/>
    <w:uiPriority w:val="99"/>
    <w:pPr>
      <w:spacing w:before="100" w:after="100" w:line="240" w:lineRule="auto"/>
    </w:pPr>
    <w:rPr>
      <w:rFonts w:eastAsia="Times New Roman" w:cs="Times New Roman"/>
      <w:szCs w:val="22"/>
      <w:lang w:val="de-AT" w:eastAsia="de-AT"/>
    </w:rPr>
  </w:style>
  <w:style w:type="paragraph" w:customStyle="1" w:styleId="Xl92">
    <w:name w:val="Xl92"/>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93">
    <w:name w:val="Xl93"/>
    <w:basedOn w:val="Normal"/>
    <w:uiPriority w:val="99"/>
    <w:pPr>
      <w:shd w:val="clear" w:color="auto" w:fill="C6E0B4"/>
      <w:spacing w:before="100" w:after="100" w:line="240" w:lineRule="auto"/>
      <w:jc w:val="center"/>
    </w:pPr>
    <w:rPr>
      <w:rFonts w:eastAsia="Times New Roman" w:cs="Times New Roman"/>
      <w:szCs w:val="22"/>
      <w:lang w:val="de-AT" w:eastAsia="de-AT"/>
    </w:rPr>
  </w:style>
  <w:style w:type="paragraph" w:customStyle="1" w:styleId="Xl94">
    <w:name w:val="Xl94"/>
    <w:basedOn w:val="Normal"/>
    <w:uiPriority w:val="99"/>
    <w:pPr>
      <w:pBdr>
        <w:top w:val="single" w:sz="4" w:space="0" w:color="000000"/>
        <w:left w:val="single" w:sz="4" w:space="0" w:color="000000"/>
        <w:bottom w:val="single" w:sz="4" w:space="0" w:color="000000"/>
        <w:right w:val="single" w:sz="4" w:space="0" w:color="000000"/>
      </w:pBdr>
      <w:shd w:val="clear" w:color="auto" w:fill="C6E0B4"/>
      <w:spacing w:before="100" w:after="100" w:line="240" w:lineRule="auto"/>
    </w:pPr>
    <w:rPr>
      <w:rFonts w:eastAsia="Times New Roman" w:cs="Times New Roman"/>
      <w:b/>
      <w:bCs/>
      <w:szCs w:val="22"/>
      <w:lang w:val="de-AT" w:eastAsia="de-AT"/>
    </w:rPr>
  </w:style>
  <w:style w:type="paragraph" w:customStyle="1" w:styleId="Xl95">
    <w:name w:val="Xl95"/>
    <w:basedOn w:val="Normal"/>
    <w:uiPriority w:val="99"/>
    <w:pPr>
      <w:pBdr>
        <w:top w:val="single" w:sz="4" w:space="0" w:color="000000"/>
        <w:left w:val="single" w:sz="4" w:space="0" w:color="000000"/>
        <w:bottom w:val="single" w:sz="4" w:space="0" w:color="000000"/>
        <w:right w:val="single" w:sz="4" w:space="0" w:color="000000"/>
      </w:pBdr>
      <w:shd w:val="clear" w:color="auto" w:fill="C6E0B4"/>
      <w:spacing w:before="100" w:after="100" w:line="240" w:lineRule="auto"/>
    </w:pPr>
    <w:rPr>
      <w:rFonts w:eastAsia="Times New Roman" w:cs="Times New Roman"/>
      <w:b/>
      <w:bCs/>
      <w:szCs w:val="22"/>
      <w:lang w:val="de-AT" w:eastAsia="de-AT"/>
    </w:rPr>
  </w:style>
  <w:style w:type="paragraph" w:customStyle="1" w:styleId="Xl96">
    <w:name w:val="Xl96"/>
    <w:basedOn w:val="Normal"/>
    <w:uiPriority w:val="99"/>
    <w:pPr>
      <w:pBdr>
        <w:top w:val="single" w:sz="4" w:space="0" w:color="000000"/>
        <w:left w:val="single" w:sz="4" w:space="0" w:color="000000"/>
        <w:bottom w:val="single" w:sz="4" w:space="0" w:color="000000"/>
        <w:right w:val="single" w:sz="4" w:space="0" w:color="000000"/>
      </w:pBdr>
      <w:shd w:val="clear" w:color="auto" w:fill="C6E0B4"/>
      <w:spacing w:before="100" w:after="100" w:line="240" w:lineRule="auto"/>
      <w:jc w:val="center"/>
    </w:pPr>
    <w:rPr>
      <w:rFonts w:eastAsia="Times New Roman" w:cs="Times New Roman"/>
      <w:b/>
      <w:bCs/>
      <w:szCs w:val="22"/>
      <w:lang w:val="de-AT" w:eastAsia="de-AT"/>
    </w:rPr>
  </w:style>
  <w:style w:type="paragraph" w:customStyle="1" w:styleId="Xl97">
    <w:name w:val="Xl97"/>
    <w:basedOn w:val="Normal"/>
    <w:uiPriority w:val="99"/>
    <w:pPr>
      <w:pBdr>
        <w:top w:val="single" w:sz="4" w:space="0" w:color="000000"/>
        <w:left w:val="single" w:sz="4" w:space="0" w:color="000000"/>
        <w:bottom w:val="single" w:sz="4" w:space="0" w:color="000000"/>
        <w:right w:val="single" w:sz="4" w:space="0" w:color="000000"/>
      </w:pBdr>
      <w:shd w:val="clear" w:color="auto" w:fill="C6E0B4"/>
      <w:spacing w:before="100" w:after="100" w:line="240" w:lineRule="auto"/>
      <w:jc w:val="center"/>
    </w:pPr>
    <w:rPr>
      <w:rFonts w:eastAsia="Times New Roman" w:cs="Times New Roman"/>
      <w:b/>
      <w:bCs/>
      <w:szCs w:val="22"/>
      <w:lang w:val="de-AT" w:eastAsia="de-AT"/>
    </w:rPr>
  </w:style>
  <w:style w:type="paragraph" w:customStyle="1" w:styleId="Xl98">
    <w:name w:val="Xl98"/>
    <w:basedOn w:val="Normal"/>
    <w:uiPriority w:val="99"/>
    <w:pPr>
      <w:shd w:val="clear" w:color="auto" w:fill="C6E0B4"/>
      <w:spacing w:before="100" w:after="100" w:line="240" w:lineRule="auto"/>
      <w:jc w:val="center"/>
    </w:pPr>
    <w:rPr>
      <w:rFonts w:eastAsia="Times New Roman" w:cs="Times New Roman"/>
      <w:b/>
      <w:bCs/>
      <w:szCs w:val="22"/>
      <w:lang w:val="de-AT" w:eastAsia="de-AT"/>
    </w:rPr>
  </w:style>
  <w:style w:type="paragraph" w:customStyle="1" w:styleId="Xl99">
    <w:name w:val="Xl99"/>
    <w:basedOn w:val="Normal"/>
    <w:uiPriority w:val="99"/>
    <w:pPr>
      <w:shd w:val="clear" w:color="auto" w:fill="C6E0B4"/>
      <w:spacing w:before="100" w:after="100" w:line="240" w:lineRule="auto"/>
      <w:jc w:val="center"/>
    </w:pPr>
    <w:rPr>
      <w:rFonts w:eastAsia="Times New Roman" w:cs="Times New Roman"/>
      <w:b/>
      <w:bCs/>
      <w:szCs w:val="22"/>
      <w:lang w:val="de-AT" w:eastAsia="de-AT"/>
    </w:rPr>
  </w:style>
  <w:style w:type="paragraph" w:customStyle="1" w:styleId="Xl100">
    <w:name w:val="Xl100"/>
    <w:basedOn w:val="Normal"/>
    <w:uiPriority w:val="99"/>
    <w:pPr>
      <w:shd w:val="clear" w:color="auto" w:fill="C6E0B4"/>
      <w:spacing w:before="100" w:after="100" w:line="240" w:lineRule="auto"/>
      <w:jc w:val="center"/>
    </w:pPr>
    <w:rPr>
      <w:rFonts w:eastAsia="Times New Roman" w:cs="Times New Roman"/>
      <w:b/>
      <w:bCs/>
      <w:szCs w:val="22"/>
      <w:lang w:val="de-AT" w:eastAsia="de-AT"/>
    </w:rPr>
  </w:style>
  <w:style w:type="paragraph" w:customStyle="1" w:styleId="Xl101">
    <w:name w:val="Xl101"/>
    <w:basedOn w:val="Normal"/>
    <w:uiPriority w:val="99"/>
    <w:pPr>
      <w:shd w:val="clear" w:color="auto" w:fill="C6E0B4"/>
      <w:spacing w:before="100" w:after="100" w:line="240" w:lineRule="auto"/>
      <w:jc w:val="center"/>
    </w:pPr>
    <w:rPr>
      <w:rFonts w:eastAsia="Times New Roman" w:cs="Times New Roman"/>
      <w:b/>
      <w:bCs/>
      <w:szCs w:val="22"/>
      <w:lang w:val="de-AT" w:eastAsia="de-AT"/>
    </w:rPr>
  </w:style>
  <w:style w:type="paragraph" w:customStyle="1" w:styleId="Xl102">
    <w:name w:val="Xl102"/>
    <w:basedOn w:val="Normal"/>
    <w:uiPriority w:val="99"/>
    <w:pPr>
      <w:pBdr>
        <w:top w:val="single" w:sz="4" w:space="0" w:color="000000"/>
        <w:left w:val="single" w:sz="4" w:space="0" w:color="000000"/>
        <w:bottom w:val="single" w:sz="4" w:space="0" w:color="000000"/>
        <w:right w:val="single" w:sz="4" w:space="0" w:color="000000"/>
      </w:pBdr>
      <w:shd w:val="clear" w:color="auto" w:fill="C6E0B4"/>
      <w:spacing w:before="100" w:after="100" w:line="240" w:lineRule="auto"/>
      <w:jc w:val="center"/>
    </w:pPr>
    <w:rPr>
      <w:rFonts w:eastAsia="Times New Roman" w:cs="Times New Roman"/>
      <w:b/>
      <w:bCs/>
      <w:szCs w:val="22"/>
      <w:lang w:val="de-AT" w:eastAsia="de-AT"/>
    </w:rPr>
  </w:style>
  <w:style w:type="paragraph" w:customStyle="1" w:styleId="Xl103">
    <w:name w:val="Xl103"/>
    <w:basedOn w:val="Normal"/>
    <w:uiPriority w:val="99"/>
    <w:pPr>
      <w:pBdr>
        <w:top w:val="single" w:sz="4" w:space="0" w:color="000000"/>
        <w:left w:val="single" w:sz="4" w:space="0" w:color="000000"/>
        <w:bottom w:val="single" w:sz="4" w:space="0" w:color="000000"/>
        <w:right w:val="single" w:sz="4" w:space="0" w:color="000000"/>
      </w:pBdr>
      <w:shd w:val="clear" w:color="auto" w:fill="C6E0B4"/>
      <w:spacing w:before="100" w:after="100" w:line="240" w:lineRule="auto"/>
      <w:jc w:val="center"/>
    </w:pPr>
    <w:rPr>
      <w:rFonts w:eastAsia="Times New Roman" w:cs="Times New Roman"/>
      <w:b/>
      <w:bCs/>
      <w:szCs w:val="22"/>
      <w:lang w:val="de-AT" w:eastAsia="de-AT"/>
    </w:rPr>
  </w:style>
  <w:style w:type="paragraph" w:customStyle="1" w:styleId="Xl104">
    <w:name w:val="Xl104"/>
    <w:basedOn w:val="Normal"/>
    <w:uiPriority w:val="99"/>
    <w:pPr>
      <w:pBdr>
        <w:top w:val="single" w:sz="4" w:space="0" w:color="000000"/>
        <w:left w:val="single" w:sz="4" w:space="0" w:color="000000"/>
        <w:bottom w:val="single" w:sz="4" w:space="0" w:color="000000"/>
        <w:right w:val="single" w:sz="4" w:space="0" w:color="000000"/>
      </w:pBdr>
      <w:shd w:val="clear" w:color="auto" w:fill="C6E0B4"/>
      <w:spacing w:before="100" w:after="100" w:line="240" w:lineRule="auto"/>
      <w:jc w:val="center"/>
    </w:pPr>
    <w:rPr>
      <w:rFonts w:eastAsia="Times New Roman" w:cs="Times New Roman"/>
      <w:b/>
      <w:bCs/>
      <w:szCs w:val="22"/>
      <w:lang w:val="de-AT" w:eastAsia="de-AT"/>
    </w:rPr>
  </w:style>
  <w:style w:type="paragraph" w:customStyle="1" w:styleId="Xl105">
    <w:name w:val="Xl105"/>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106">
    <w:name w:val="Xl106"/>
    <w:basedOn w:val="Normal"/>
    <w:uiPriority w:val="99"/>
    <w:pPr>
      <w:shd w:val="clear" w:color="auto" w:fill="548235"/>
      <w:spacing w:before="100" w:after="100" w:line="240" w:lineRule="auto"/>
    </w:pPr>
    <w:rPr>
      <w:rFonts w:eastAsia="Times New Roman" w:cs="Times New Roman"/>
      <w:b/>
      <w:bCs/>
      <w:sz w:val="28"/>
      <w:szCs w:val="28"/>
      <w:lang w:val="de-AT" w:eastAsia="de-AT"/>
    </w:rPr>
  </w:style>
  <w:style w:type="paragraph" w:customStyle="1" w:styleId="Xl107">
    <w:name w:val="Xl107"/>
    <w:basedOn w:val="Normal"/>
    <w:uiPriority w:val="99"/>
    <w:pPr>
      <w:shd w:val="clear" w:color="auto" w:fill="548235"/>
      <w:spacing w:before="100" w:after="100" w:line="240" w:lineRule="auto"/>
    </w:pPr>
    <w:rPr>
      <w:rFonts w:eastAsia="Times New Roman" w:cs="Times New Roman"/>
      <w:b/>
      <w:bCs/>
      <w:sz w:val="44"/>
      <w:szCs w:val="44"/>
      <w:lang w:val="de-AT" w:eastAsia="de-AT"/>
    </w:rPr>
  </w:style>
  <w:style w:type="paragraph" w:customStyle="1" w:styleId="Xl108">
    <w:name w:val="Xl108"/>
    <w:basedOn w:val="Normal"/>
    <w:uiPriority w:val="99"/>
    <w:pPr>
      <w:shd w:val="clear" w:color="auto" w:fill="548235"/>
      <w:spacing w:before="100" w:after="100" w:line="240" w:lineRule="auto"/>
    </w:pPr>
    <w:rPr>
      <w:rFonts w:eastAsia="Times New Roman" w:cs="Times New Roman"/>
      <w:b/>
      <w:bCs/>
      <w:szCs w:val="22"/>
      <w:lang w:val="de-AT" w:eastAsia="de-AT"/>
    </w:rPr>
  </w:style>
  <w:style w:type="paragraph" w:customStyle="1" w:styleId="Xl109">
    <w:name w:val="Xl109"/>
    <w:basedOn w:val="Normal"/>
    <w:uiPriority w:val="99"/>
    <w:pPr>
      <w:shd w:val="clear" w:color="auto" w:fill="548235"/>
      <w:spacing w:before="100" w:after="100" w:line="240" w:lineRule="auto"/>
    </w:pPr>
    <w:rPr>
      <w:rFonts w:eastAsia="Times New Roman" w:cs="Times New Roman"/>
      <w:szCs w:val="22"/>
      <w:lang w:val="de-AT" w:eastAsia="de-AT"/>
    </w:rPr>
  </w:style>
  <w:style w:type="paragraph" w:customStyle="1" w:styleId="Xl110">
    <w:name w:val="Xl110"/>
    <w:basedOn w:val="Normal"/>
    <w:uiPriority w:val="99"/>
    <w:pPr>
      <w:shd w:val="clear" w:color="auto" w:fill="548235"/>
      <w:spacing w:before="100" w:after="100" w:line="240" w:lineRule="auto"/>
      <w:jc w:val="center"/>
    </w:pPr>
    <w:rPr>
      <w:rFonts w:eastAsia="Times New Roman" w:cs="Times New Roman"/>
      <w:szCs w:val="22"/>
      <w:lang w:val="de-AT" w:eastAsia="de-AT"/>
    </w:rPr>
  </w:style>
  <w:style w:type="paragraph" w:customStyle="1" w:styleId="Xl111">
    <w:name w:val="Xl111"/>
    <w:basedOn w:val="Normal"/>
    <w:uiPriority w:val="99"/>
    <w:pPr>
      <w:shd w:val="clear" w:color="auto" w:fill="548235"/>
      <w:spacing w:before="100" w:after="100" w:line="240" w:lineRule="auto"/>
      <w:jc w:val="center"/>
    </w:pPr>
    <w:rPr>
      <w:rFonts w:eastAsia="Times New Roman" w:cs="Times New Roman"/>
      <w:szCs w:val="22"/>
      <w:lang w:val="de-AT" w:eastAsia="de-AT"/>
    </w:rPr>
  </w:style>
  <w:style w:type="paragraph" w:customStyle="1" w:styleId="Xl112">
    <w:name w:val="Xl112"/>
    <w:basedOn w:val="Normal"/>
    <w:uiPriority w:val="99"/>
    <w:pPr>
      <w:shd w:val="clear" w:color="auto" w:fill="548235"/>
      <w:spacing w:before="100" w:after="100" w:line="240" w:lineRule="auto"/>
      <w:jc w:val="center"/>
    </w:pPr>
    <w:rPr>
      <w:rFonts w:eastAsia="Times New Roman" w:cs="Times New Roman"/>
      <w:szCs w:val="22"/>
      <w:lang w:val="de-AT" w:eastAsia="de-AT"/>
    </w:rPr>
  </w:style>
  <w:style w:type="paragraph" w:customStyle="1" w:styleId="Xl113">
    <w:name w:val="Xl113"/>
    <w:basedOn w:val="Normal"/>
    <w:uiPriority w:val="99"/>
    <w:pPr>
      <w:shd w:val="clear" w:color="auto" w:fill="548235"/>
      <w:spacing w:before="100" w:after="100" w:line="240" w:lineRule="auto"/>
      <w:jc w:val="center"/>
    </w:pPr>
    <w:rPr>
      <w:rFonts w:eastAsia="Times New Roman" w:cs="Times New Roman"/>
      <w:szCs w:val="22"/>
      <w:lang w:val="de-AT" w:eastAsia="de-AT"/>
    </w:rPr>
  </w:style>
  <w:style w:type="paragraph" w:customStyle="1" w:styleId="Xl114">
    <w:name w:val="Xl114"/>
    <w:basedOn w:val="Normal"/>
    <w:uiPriority w:val="99"/>
    <w:pPr>
      <w:shd w:val="clear" w:color="auto" w:fill="548235"/>
      <w:spacing w:before="100" w:after="100" w:line="240" w:lineRule="auto"/>
    </w:pPr>
    <w:rPr>
      <w:rFonts w:eastAsia="Times New Roman" w:cs="Times New Roman"/>
      <w:szCs w:val="22"/>
      <w:lang w:val="de-AT" w:eastAsia="de-AT"/>
    </w:rPr>
  </w:style>
  <w:style w:type="paragraph" w:customStyle="1" w:styleId="Xl115">
    <w:name w:val="Xl115"/>
    <w:basedOn w:val="Normal"/>
    <w:uiPriority w:val="99"/>
    <w:pPr>
      <w:shd w:val="clear" w:color="auto" w:fill="548235"/>
      <w:spacing w:before="100" w:after="100" w:line="240" w:lineRule="auto"/>
    </w:pPr>
    <w:rPr>
      <w:rFonts w:eastAsia="Times New Roman" w:cs="Times New Roman"/>
      <w:szCs w:val="22"/>
      <w:lang w:val="de-AT" w:eastAsia="de-AT"/>
    </w:rPr>
  </w:style>
  <w:style w:type="paragraph" w:customStyle="1" w:styleId="Xl116">
    <w:name w:val="Xl116"/>
    <w:basedOn w:val="Normal"/>
    <w:uiPriority w:val="99"/>
    <w:pPr>
      <w:shd w:val="clear" w:color="auto" w:fill="548235"/>
      <w:spacing w:before="100" w:after="100" w:line="240" w:lineRule="auto"/>
    </w:pPr>
    <w:rPr>
      <w:rFonts w:eastAsia="Times New Roman" w:cs="Times New Roman"/>
      <w:szCs w:val="22"/>
      <w:lang w:val="de-AT" w:eastAsia="de-AT"/>
    </w:rPr>
  </w:style>
  <w:style w:type="paragraph" w:customStyle="1" w:styleId="Xl117">
    <w:name w:val="Xl117"/>
    <w:basedOn w:val="Normal"/>
    <w:uiPriority w:val="99"/>
    <w:pPr>
      <w:shd w:val="clear" w:color="auto" w:fill="BFBFBF"/>
      <w:spacing w:before="100" w:after="100" w:line="240" w:lineRule="auto"/>
    </w:pPr>
    <w:rPr>
      <w:rFonts w:eastAsia="Times New Roman" w:cs="Times New Roman"/>
      <w:b/>
      <w:bCs/>
      <w:szCs w:val="22"/>
      <w:lang w:val="de-AT" w:eastAsia="de-AT"/>
    </w:rPr>
  </w:style>
  <w:style w:type="paragraph" w:customStyle="1" w:styleId="Xl118">
    <w:name w:val="Xl118"/>
    <w:basedOn w:val="Normal"/>
    <w:uiPriority w:val="99"/>
    <w:pPr>
      <w:shd w:val="clear" w:color="auto" w:fill="BFBFBF"/>
      <w:spacing w:before="100" w:after="100" w:line="240" w:lineRule="auto"/>
    </w:pPr>
    <w:rPr>
      <w:rFonts w:eastAsia="Times New Roman" w:cs="Times New Roman"/>
      <w:b/>
      <w:bCs/>
      <w:szCs w:val="22"/>
      <w:lang w:val="de-AT" w:eastAsia="de-AT"/>
    </w:rPr>
  </w:style>
  <w:style w:type="paragraph" w:customStyle="1" w:styleId="Xl119">
    <w:name w:val="Xl119"/>
    <w:basedOn w:val="Normal"/>
    <w:uiPriority w:val="99"/>
    <w:pPr>
      <w:shd w:val="clear" w:color="auto" w:fill="BFBFBF"/>
      <w:spacing w:before="100" w:after="100" w:line="240" w:lineRule="auto"/>
      <w:jc w:val="center"/>
    </w:pPr>
    <w:rPr>
      <w:rFonts w:eastAsia="Times New Roman" w:cs="Times New Roman"/>
      <w:b/>
      <w:bCs/>
      <w:szCs w:val="22"/>
      <w:lang w:val="de-AT" w:eastAsia="de-AT"/>
    </w:rPr>
  </w:style>
  <w:style w:type="paragraph" w:customStyle="1" w:styleId="Xl120">
    <w:name w:val="Xl120"/>
    <w:basedOn w:val="Normal"/>
    <w:uiPriority w:val="99"/>
    <w:pPr>
      <w:shd w:val="clear" w:color="auto" w:fill="BFBFBF"/>
      <w:spacing w:before="100" w:after="100" w:line="240" w:lineRule="auto"/>
      <w:jc w:val="center"/>
    </w:pPr>
    <w:rPr>
      <w:rFonts w:eastAsia="Times New Roman" w:cs="Times New Roman"/>
      <w:b/>
      <w:bCs/>
      <w:szCs w:val="22"/>
      <w:lang w:val="de-AT" w:eastAsia="de-AT"/>
    </w:rPr>
  </w:style>
  <w:style w:type="paragraph" w:customStyle="1" w:styleId="Xl121">
    <w:name w:val="Xl121"/>
    <w:basedOn w:val="Normal"/>
    <w:uiPriority w:val="99"/>
    <w:pPr>
      <w:shd w:val="clear" w:color="auto" w:fill="BFBFBF"/>
      <w:spacing w:before="100" w:after="100" w:line="240" w:lineRule="auto"/>
      <w:jc w:val="center"/>
    </w:pPr>
    <w:rPr>
      <w:rFonts w:eastAsia="Times New Roman" w:cs="Times New Roman"/>
      <w:b/>
      <w:bCs/>
      <w:szCs w:val="22"/>
      <w:lang w:val="de-AT" w:eastAsia="de-AT"/>
    </w:rPr>
  </w:style>
  <w:style w:type="paragraph" w:customStyle="1" w:styleId="Xl122">
    <w:name w:val="Xl122"/>
    <w:basedOn w:val="Normal"/>
    <w:uiPriority w:val="99"/>
    <w:pPr>
      <w:shd w:val="clear" w:color="auto" w:fill="BFBFBF"/>
      <w:spacing w:before="100" w:after="100" w:line="240" w:lineRule="auto"/>
      <w:jc w:val="center"/>
    </w:pPr>
    <w:rPr>
      <w:rFonts w:eastAsia="Times New Roman" w:cs="Times New Roman"/>
      <w:b/>
      <w:bCs/>
      <w:szCs w:val="22"/>
      <w:lang w:val="de-AT" w:eastAsia="de-AT"/>
    </w:rPr>
  </w:style>
  <w:style w:type="paragraph" w:customStyle="1" w:styleId="Xl123">
    <w:name w:val="Xl123"/>
    <w:basedOn w:val="Normal"/>
    <w:uiPriority w:val="99"/>
    <w:pPr>
      <w:shd w:val="clear" w:color="auto" w:fill="BFBFBF"/>
      <w:spacing w:before="100" w:after="100" w:line="240" w:lineRule="auto"/>
    </w:pPr>
    <w:rPr>
      <w:rFonts w:eastAsia="Times New Roman" w:cs="Times New Roman"/>
      <w:b/>
      <w:bCs/>
      <w:szCs w:val="22"/>
      <w:lang w:val="de-AT" w:eastAsia="de-AT"/>
    </w:rPr>
  </w:style>
  <w:style w:type="paragraph" w:customStyle="1" w:styleId="Xl124">
    <w:name w:val="Xl124"/>
    <w:basedOn w:val="Normal"/>
    <w:uiPriority w:val="99"/>
    <w:pPr>
      <w:shd w:val="clear" w:color="auto" w:fill="BFBFBF"/>
      <w:spacing w:before="100" w:after="100" w:line="240" w:lineRule="auto"/>
    </w:pPr>
    <w:rPr>
      <w:rFonts w:eastAsia="Times New Roman" w:cs="Times New Roman"/>
      <w:b/>
      <w:bCs/>
      <w:szCs w:val="22"/>
      <w:lang w:val="de-AT" w:eastAsia="de-AT"/>
    </w:rPr>
  </w:style>
  <w:style w:type="paragraph" w:customStyle="1" w:styleId="Xl125">
    <w:name w:val="Xl125"/>
    <w:basedOn w:val="Normal"/>
    <w:uiPriority w:val="99"/>
    <w:pPr>
      <w:shd w:val="clear" w:color="auto" w:fill="BFBFBF"/>
      <w:spacing w:before="100" w:after="100" w:line="240" w:lineRule="auto"/>
    </w:pPr>
    <w:rPr>
      <w:rFonts w:eastAsia="Times New Roman" w:cs="Times New Roman"/>
      <w:b/>
      <w:bCs/>
      <w:szCs w:val="22"/>
      <w:lang w:val="de-AT" w:eastAsia="de-AT"/>
    </w:rPr>
  </w:style>
  <w:style w:type="paragraph" w:customStyle="1" w:styleId="Xl126">
    <w:name w:val="Xl126"/>
    <w:basedOn w:val="Normal"/>
    <w:uiPriority w:val="99"/>
    <w:pPr>
      <w:shd w:val="clear" w:color="auto" w:fill="FFFFFF"/>
      <w:spacing w:before="100" w:after="100" w:line="240" w:lineRule="auto"/>
    </w:pPr>
    <w:rPr>
      <w:rFonts w:eastAsia="Times New Roman" w:cs="Times New Roman"/>
      <w:b/>
      <w:bCs/>
      <w:szCs w:val="22"/>
      <w:lang w:val="de-AT" w:eastAsia="de-AT"/>
    </w:rPr>
  </w:style>
  <w:style w:type="paragraph" w:customStyle="1" w:styleId="Xl127">
    <w:name w:val="Xl127"/>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128">
    <w:name w:val="Xl128"/>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129">
    <w:name w:val="Xl129"/>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130">
    <w:name w:val="Xl130"/>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131">
    <w:name w:val="Xl131"/>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132">
    <w:name w:val="Xl132"/>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133">
    <w:name w:val="Xl133"/>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134">
    <w:name w:val="Xl134"/>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135">
    <w:name w:val="Xl135"/>
    <w:basedOn w:val="Normal"/>
    <w:uiPriority w:val="99"/>
    <w:pPr>
      <w:shd w:val="clear" w:color="auto" w:fill="FFFFFF"/>
      <w:spacing w:before="100" w:after="100" w:line="240" w:lineRule="auto"/>
    </w:pPr>
    <w:rPr>
      <w:rFonts w:eastAsia="Times New Roman" w:cs="Times New Roman"/>
      <w:i/>
      <w:iCs/>
      <w:szCs w:val="22"/>
      <w:lang w:val="de-AT" w:eastAsia="de-AT"/>
    </w:rPr>
  </w:style>
  <w:style w:type="paragraph" w:customStyle="1" w:styleId="Xl136">
    <w:name w:val="Xl136"/>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137">
    <w:name w:val="Xl137"/>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138">
    <w:name w:val="Xl138"/>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139">
    <w:name w:val="Xl139"/>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140">
    <w:name w:val="Xl140"/>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141">
    <w:name w:val="Xl141"/>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142">
    <w:name w:val="Xl142"/>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143">
    <w:name w:val="Xl143"/>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144">
    <w:name w:val="Xl144"/>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145">
    <w:name w:val="Xl145"/>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146">
    <w:name w:val="Xl146"/>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147">
    <w:name w:val="Xl147"/>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148">
    <w:name w:val="Xl148"/>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149">
    <w:name w:val="Xl149"/>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150">
    <w:name w:val="Xl150"/>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151">
    <w:name w:val="Xl151"/>
    <w:basedOn w:val="Normal"/>
    <w:uiPriority w:val="99"/>
    <w:pPr>
      <w:shd w:val="clear" w:color="auto" w:fill="FFFFFF"/>
      <w:spacing w:before="100" w:after="100" w:line="240" w:lineRule="auto"/>
    </w:pPr>
    <w:rPr>
      <w:rFonts w:ascii="Tahoma" w:eastAsia="Times New Roman" w:hAnsi="Tahoma" w:cs="Tahoma"/>
      <w:szCs w:val="22"/>
      <w:lang w:val="de-AT" w:eastAsia="de-AT"/>
    </w:rPr>
  </w:style>
  <w:style w:type="paragraph" w:customStyle="1" w:styleId="Xl152">
    <w:name w:val="Xl152"/>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153">
    <w:name w:val="Xl153"/>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154">
    <w:name w:val="Xl154"/>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155">
    <w:name w:val="Xl155"/>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156">
    <w:name w:val="Xl156"/>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157">
    <w:name w:val="Xl157"/>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158">
    <w:name w:val="Xl158"/>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159">
    <w:name w:val="Xl159"/>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160">
    <w:name w:val="Xl160"/>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161">
    <w:name w:val="Xl161"/>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162">
    <w:name w:val="Xl162"/>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163">
    <w:name w:val="Xl163"/>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164">
    <w:name w:val="Xl164"/>
    <w:basedOn w:val="Normal"/>
    <w:uiPriority w:val="99"/>
    <w:pPr>
      <w:shd w:val="clear" w:color="auto" w:fill="D9D9D9"/>
      <w:spacing w:before="100" w:after="100" w:line="240" w:lineRule="auto"/>
      <w:jc w:val="center"/>
    </w:pPr>
    <w:rPr>
      <w:rFonts w:eastAsia="Times New Roman" w:cs="Times New Roman"/>
      <w:b/>
      <w:bCs/>
      <w:szCs w:val="22"/>
      <w:lang w:val="de-AT" w:eastAsia="de-AT"/>
    </w:rPr>
  </w:style>
  <w:style w:type="paragraph" w:customStyle="1" w:styleId="Xl165">
    <w:name w:val="Xl165"/>
    <w:basedOn w:val="Normal"/>
    <w:uiPriority w:val="99"/>
    <w:pPr>
      <w:shd w:val="clear" w:color="auto" w:fill="D9D9D9"/>
      <w:spacing w:before="100" w:after="100" w:line="240" w:lineRule="auto"/>
      <w:jc w:val="center"/>
    </w:pPr>
    <w:rPr>
      <w:rFonts w:eastAsia="Times New Roman" w:cs="Times New Roman"/>
      <w:b/>
      <w:bCs/>
      <w:szCs w:val="22"/>
      <w:lang w:val="de-AT" w:eastAsia="de-AT"/>
    </w:rPr>
  </w:style>
  <w:style w:type="paragraph" w:customStyle="1" w:styleId="Xl166">
    <w:name w:val="Xl166"/>
    <w:basedOn w:val="Normal"/>
    <w:uiPriority w:val="99"/>
    <w:pPr>
      <w:shd w:val="clear" w:color="auto" w:fill="D9D9D9"/>
      <w:spacing w:before="100" w:after="100" w:line="240" w:lineRule="auto"/>
      <w:jc w:val="center"/>
    </w:pPr>
    <w:rPr>
      <w:rFonts w:eastAsia="Times New Roman" w:cs="Times New Roman"/>
      <w:b/>
      <w:bCs/>
      <w:szCs w:val="22"/>
      <w:lang w:val="de-AT" w:eastAsia="de-AT"/>
    </w:rPr>
  </w:style>
  <w:style w:type="paragraph" w:customStyle="1" w:styleId="Xl167">
    <w:name w:val="Xl167"/>
    <w:basedOn w:val="Normal"/>
    <w:uiPriority w:val="99"/>
    <w:pPr>
      <w:shd w:val="clear" w:color="auto" w:fill="D9D9D9"/>
      <w:spacing w:before="100" w:after="100" w:line="240" w:lineRule="auto"/>
      <w:jc w:val="center"/>
    </w:pPr>
    <w:rPr>
      <w:rFonts w:eastAsia="Times New Roman" w:cs="Times New Roman"/>
      <w:b/>
      <w:bCs/>
      <w:szCs w:val="22"/>
      <w:lang w:val="de-AT" w:eastAsia="de-AT"/>
    </w:rPr>
  </w:style>
  <w:style w:type="paragraph" w:customStyle="1" w:styleId="Xl168">
    <w:name w:val="Xl168"/>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169">
    <w:name w:val="Xl169"/>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170">
    <w:name w:val="Xl170"/>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171">
    <w:name w:val="Xl171"/>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172">
    <w:name w:val="Xl172"/>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173">
    <w:name w:val="Xl173"/>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174">
    <w:name w:val="Xl174"/>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175">
    <w:name w:val="Xl175"/>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176">
    <w:name w:val="Xl176"/>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177">
    <w:name w:val="Xl177"/>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178">
    <w:name w:val="Xl178"/>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179">
    <w:name w:val="Xl179"/>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180">
    <w:name w:val="Xl180"/>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181">
    <w:name w:val="Xl181"/>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182">
    <w:name w:val="Xl182"/>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183">
    <w:name w:val="Xl183"/>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184">
    <w:name w:val="Xl184"/>
    <w:basedOn w:val="Normal"/>
    <w:uiPriority w:val="99"/>
    <w:pPr>
      <w:shd w:val="clear" w:color="auto" w:fill="D9D9D9"/>
      <w:spacing w:before="100" w:after="100" w:line="240" w:lineRule="auto"/>
    </w:pPr>
    <w:rPr>
      <w:rFonts w:eastAsia="Times New Roman" w:cs="Times New Roman"/>
      <w:szCs w:val="22"/>
      <w:lang w:val="de-AT" w:eastAsia="de-AT"/>
    </w:rPr>
  </w:style>
  <w:style w:type="paragraph" w:customStyle="1" w:styleId="Xl185">
    <w:name w:val="Xl185"/>
    <w:basedOn w:val="Normal"/>
    <w:uiPriority w:val="99"/>
    <w:pPr>
      <w:shd w:val="clear" w:color="auto" w:fill="D9D9D9"/>
      <w:spacing w:before="100" w:after="100" w:line="240" w:lineRule="auto"/>
      <w:jc w:val="center"/>
    </w:pPr>
    <w:rPr>
      <w:rFonts w:eastAsia="Times New Roman" w:cs="Times New Roman"/>
      <w:szCs w:val="22"/>
      <w:lang w:val="de-AT" w:eastAsia="de-AT"/>
    </w:rPr>
  </w:style>
  <w:style w:type="paragraph" w:customStyle="1" w:styleId="Xl186">
    <w:name w:val="Xl186"/>
    <w:basedOn w:val="Normal"/>
    <w:uiPriority w:val="99"/>
    <w:pPr>
      <w:shd w:val="clear" w:color="auto" w:fill="D9D9D9"/>
      <w:spacing w:before="100" w:after="100" w:line="240" w:lineRule="auto"/>
      <w:jc w:val="center"/>
    </w:pPr>
    <w:rPr>
      <w:rFonts w:eastAsia="Times New Roman" w:cs="Times New Roman"/>
      <w:szCs w:val="22"/>
      <w:lang w:val="de-AT" w:eastAsia="de-AT"/>
    </w:rPr>
  </w:style>
  <w:style w:type="paragraph" w:customStyle="1" w:styleId="Xl187">
    <w:name w:val="Xl187"/>
    <w:basedOn w:val="Normal"/>
    <w:uiPriority w:val="99"/>
    <w:pPr>
      <w:shd w:val="clear" w:color="auto" w:fill="D9D9D9"/>
      <w:spacing w:before="100" w:after="100" w:line="240" w:lineRule="auto"/>
      <w:jc w:val="center"/>
    </w:pPr>
    <w:rPr>
      <w:rFonts w:eastAsia="Times New Roman" w:cs="Times New Roman"/>
      <w:szCs w:val="22"/>
      <w:lang w:val="de-AT" w:eastAsia="de-AT"/>
    </w:rPr>
  </w:style>
  <w:style w:type="paragraph" w:customStyle="1" w:styleId="Xl188">
    <w:name w:val="Xl188"/>
    <w:basedOn w:val="Normal"/>
    <w:uiPriority w:val="99"/>
    <w:pPr>
      <w:shd w:val="clear" w:color="auto" w:fill="D9D9D9"/>
      <w:spacing w:before="100" w:after="100" w:line="240" w:lineRule="auto"/>
      <w:jc w:val="center"/>
    </w:pPr>
    <w:rPr>
      <w:rFonts w:eastAsia="Times New Roman" w:cs="Times New Roman"/>
      <w:szCs w:val="22"/>
      <w:lang w:val="de-AT" w:eastAsia="de-AT"/>
    </w:rPr>
  </w:style>
  <w:style w:type="paragraph" w:customStyle="1" w:styleId="Xl189">
    <w:name w:val="Xl189"/>
    <w:basedOn w:val="Normal"/>
    <w:uiPriority w:val="99"/>
    <w:pPr>
      <w:shd w:val="clear" w:color="auto" w:fill="D9D9D9"/>
      <w:spacing w:before="100" w:after="100" w:line="240" w:lineRule="auto"/>
    </w:pPr>
    <w:rPr>
      <w:rFonts w:eastAsia="Times New Roman" w:cs="Times New Roman"/>
      <w:szCs w:val="22"/>
      <w:lang w:val="de-AT" w:eastAsia="de-AT"/>
    </w:rPr>
  </w:style>
  <w:style w:type="paragraph" w:customStyle="1" w:styleId="Xl190">
    <w:name w:val="Xl190"/>
    <w:basedOn w:val="Normal"/>
    <w:uiPriority w:val="99"/>
    <w:pPr>
      <w:shd w:val="clear" w:color="auto" w:fill="D9D9D9"/>
      <w:spacing w:before="100" w:after="100" w:line="240" w:lineRule="auto"/>
    </w:pPr>
    <w:rPr>
      <w:rFonts w:eastAsia="Times New Roman" w:cs="Times New Roman"/>
      <w:szCs w:val="22"/>
      <w:lang w:val="de-AT" w:eastAsia="de-AT"/>
    </w:rPr>
  </w:style>
  <w:style w:type="paragraph" w:customStyle="1" w:styleId="Xl191">
    <w:name w:val="Xl191"/>
    <w:basedOn w:val="Normal"/>
    <w:uiPriority w:val="99"/>
    <w:pPr>
      <w:shd w:val="clear" w:color="auto" w:fill="D9D9D9"/>
      <w:spacing w:before="100" w:after="100" w:line="240" w:lineRule="auto"/>
    </w:pPr>
    <w:rPr>
      <w:rFonts w:eastAsia="Times New Roman" w:cs="Times New Roman"/>
      <w:szCs w:val="22"/>
      <w:lang w:val="de-AT" w:eastAsia="de-AT"/>
    </w:rPr>
  </w:style>
  <w:style w:type="paragraph" w:customStyle="1" w:styleId="Xl192">
    <w:name w:val="Xl192"/>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193">
    <w:name w:val="Xl193"/>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eastAsia="Times New Roman" w:cs="Times New Roman"/>
      <w:szCs w:val="22"/>
      <w:lang w:val="de-AT" w:eastAsia="de-AT"/>
    </w:rPr>
  </w:style>
  <w:style w:type="paragraph" w:customStyle="1" w:styleId="Xl194">
    <w:name w:val="Xl194"/>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eastAsia="Times New Roman" w:cs="Times New Roman"/>
      <w:szCs w:val="22"/>
      <w:lang w:val="de-AT" w:eastAsia="de-AT"/>
    </w:rPr>
  </w:style>
  <w:style w:type="paragraph" w:customStyle="1" w:styleId="Xl195">
    <w:name w:val="Xl195"/>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eastAsia="Times New Roman" w:cs="Times New Roman"/>
      <w:szCs w:val="22"/>
      <w:lang w:val="de-AT" w:eastAsia="de-AT"/>
    </w:rPr>
  </w:style>
  <w:style w:type="paragraph" w:customStyle="1" w:styleId="Xl196">
    <w:name w:val="Xl196"/>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eastAsia="Times New Roman" w:cs="Times New Roman"/>
      <w:szCs w:val="22"/>
      <w:lang w:val="de-AT" w:eastAsia="de-AT"/>
    </w:rPr>
  </w:style>
  <w:style w:type="paragraph" w:customStyle="1" w:styleId="Xl197">
    <w:name w:val="Xl197"/>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eastAsia="Times New Roman" w:cs="Times New Roman"/>
      <w:szCs w:val="22"/>
      <w:lang w:val="de-AT" w:eastAsia="de-AT"/>
    </w:rPr>
  </w:style>
  <w:style w:type="paragraph" w:customStyle="1" w:styleId="Xl198">
    <w:name w:val="Xl198"/>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eastAsia="Times New Roman" w:cs="Times New Roman"/>
      <w:szCs w:val="22"/>
      <w:lang w:val="de-AT" w:eastAsia="de-AT"/>
    </w:rPr>
  </w:style>
  <w:style w:type="paragraph" w:customStyle="1" w:styleId="Xl199">
    <w:name w:val="Xl199"/>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eastAsia="Times New Roman" w:cs="Times New Roman"/>
      <w:szCs w:val="22"/>
      <w:lang w:val="de-AT" w:eastAsia="de-AT"/>
    </w:rPr>
  </w:style>
  <w:style w:type="paragraph" w:customStyle="1" w:styleId="Xl200">
    <w:name w:val="Xl200"/>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eastAsia="Times New Roman" w:cs="Times New Roman"/>
      <w:szCs w:val="22"/>
      <w:lang w:val="de-AT" w:eastAsia="de-AT"/>
    </w:rPr>
  </w:style>
  <w:style w:type="paragraph" w:customStyle="1" w:styleId="Xl201">
    <w:name w:val="Xl201"/>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eastAsia="Times New Roman" w:cs="Times New Roman"/>
      <w:szCs w:val="22"/>
      <w:lang w:val="de-AT" w:eastAsia="de-AT"/>
    </w:rPr>
  </w:style>
  <w:style w:type="paragraph" w:customStyle="1" w:styleId="Xl202">
    <w:name w:val="Xl202"/>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203">
    <w:name w:val="Xl203"/>
    <w:basedOn w:val="Normal"/>
    <w:uiPriority w:val="99"/>
    <w:pPr>
      <w:shd w:val="clear" w:color="auto" w:fill="FFFFFF"/>
      <w:spacing w:before="100" w:after="100" w:line="240" w:lineRule="auto"/>
    </w:pPr>
    <w:rPr>
      <w:rFonts w:eastAsia="Times New Roman" w:cs="Times New Roman"/>
      <w:i/>
      <w:iCs/>
      <w:szCs w:val="22"/>
      <w:lang w:val="de-AT" w:eastAsia="de-AT"/>
    </w:rPr>
  </w:style>
  <w:style w:type="paragraph" w:customStyle="1" w:styleId="Xl204">
    <w:name w:val="Xl204"/>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205">
    <w:name w:val="Xl205"/>
    <w:basedOn w:val="Normal"/>
    <w:uiPriority w:val="99"/>
    <w:pPr>
      <w:shd w:val="clear" w:color="auto" w:fill="FFFFFF"/>
      <w:spacing w:before="100" w:after="100" w:line="240" w:lineRule="auto"/>
    </w:pPr>
    <w:rPr>
      <w:rFonts w:eastAsia="Times New Roman" w:cs="Times New Roman"/>
      <w:i/>
      <w:iCs/>
      <w:szCs w:val="22"/>
      <w:lang w:val="de-AT" w:eastAsia="de-AT"/>
    </w:rPr>
  </w:style>
  <w:style w:type="paragraph" w:customStyle="1" w:styleId="Xl206">
    <w:name w:val="Xl206"/>
    <w:basedOn w:val="Normal"/>
    <w:uiPriority w:val="99"/>
    <w:pPr>
      <w:pBdr>
        <w:top w:val="double" w:sz="6" w:space="0" w:color="000000"/>
        <w:left w:val="double" w:sz="6" w:space="0" w:color="000000"/>
        <w:bottom w:val="double" w:sz="6" w:space="0" w:color="000000"/>
        <w:right w:val="double" w:sz="6" w:space="0" w:color="000000"/>
      </w:pBdr>
      <w:shd w:val="clear" w:color="auto" w:fill="D9D9D9"/>
      <w:spacing w:before="100" w:after="100" w:line="240" w:lineRule="auto"/>
    </w:pPr>
    <w:rPr>
      <w:rFonts w:eastAsia="Times New Roman" w:cs="Times New Roman"/>
      <w:b/>
      <w:bCs/>
      <w:szCs w:val="22"/>
      <w:lang w:val="de-AT" w:eastAsia="de-AT"/>
    </w:rPr>
  </w:style>
  <w:style w:type="paragraph" w:customStyle="1" w:styleId="Xl207">
    <w:name w:val="Xl207"/>
    <w:basedOn w:val="Normal"/>
    <w:uiPriority w:val="99"/>
    <w:pPr>
      <w:pBdr>
        <w:top w:val="double" w:sz="6" w:space="0" w:color="000000"/>
        <w:left w:val="double" w:sz="6" w:space="0" w:color="000000"/>
        <w:bottom w:val="double" w:sz="6" w:space="0" w:color="000000"/>
        <w:right w:val="double" w:sz="6" w:space="0" w:color="000000"/>
      </w:pBdr>
      <w:shd w:val="clear" w:color="auto" w:fill="D9D9D9"/>
      <w:spacing w:before="100" w:after="100" w:line="240" w:lineRule="auto"/>
    </w:pPr>
    <w:rPr>
      <w:rFonts w:eastAsia="Times New Roman" w:cs="Times New Roman"/>
      <w:b/>
      <w:bCs/>
      <w:szCs w:val="22"/>
      <w:lang w:val="de-AT" w:eastAsia="de-AT"/>
    </w:rPr>
  </w:style>
  <w:style w:type="paragraph" w:customStyle="1" w:styleId="Xl208">
    <w:name w:val="Xl208"/>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209">
    <w:name w:val="Xl209"/>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210">
    <w:name w:val="Xl210"/>
    <w:basedOn w:val="Normal"/>
    <w:uiPriority w:val="99"/>
    <w:pPr>
      <w:shd w:val="clear" w:color="auto" w:fill="D9D9D9"/>
      <w:spacing w:before="100" w:after="100" w:line="240" w:lineRule="auto"/>
      <w:jc w:val="center"/>
    </w:pPr>
    <w:rPr>
      <w:rFonts w:eastAsia="Times New Roman" w:cs="Times New Roman"/>
      <w:b/>
      <w:bCs/>
      <w:szCs w:val="22"/>
      <w:lang w:val="de-AT" w:eastAsia="de-AT"/>
    </w:rPr>
  </w:style>
  <w:style w:type="paragraph" w:customStyle="1" w:styleId="Xl211">
    <w:name w:val="Xl211"/>
    <w:basedOn w:val="Normal"/>
    <w:uiPriority w:val="99"/>
    <w:pPr>
      <w:shd w:val="clear" w:color="auto" w:fill="D9D9D9"/>
      <w:spacing w:before="100" w:after="100" w:line="240" w:lineRule="auto"/>
      <w:jc w:val="center"/>
    </w:pPr>
    <w:rPr>
      <w:rFonts w:eastAsia="Times New Roman" w:cs="Times New Roman"/>
      <w:b/>
      <w:bCs/>
      <w:szCs w:val="22"/>
      <w:lang w:val="de-AT" w:eastAsia="de-AT"/>
    </w:rPr>
  </w:style>
  <w:style w:type="paragraph" w:customStyle="1" w:styleId="Xl212">
    <w:name w:val="Xl212"/>
    <w:basedOn w:val="Normal"/>
    <w:uiPriority w:val="99"/>
    <w:pPr>
      <w:shd w:val="clear" w:color="auto" w:fill="D9D9D9"/>
      <w:spacing w:before="100" w:after="100" w:line="240" w:lineRule="auto"/>
      <w:jc w:val="center"/>
    </w:pPr>
    <w:rPr>
      <w:rFonts w:eastAsia="Times New Roman" w:cs="Times New Roman"/>
      <w:b/>
      <w:bCs/>
      <w:szCs w:val="22"/>
      <w:lang w:val="de-AT" w:eastAsia="de-AT"/>
    </w:rPr>
  </w:style>
  <w:style w:type="paragraph" w:customStyle="1" w:styleId="Xl213">
    <w:name w:val="Xl213"/>
    <w:basedOn w:val="Normal"/>
    <w:uiPriority w:val="99"/>
    <w:pPr>
      <w:shd w:val="clear" w:color="auto" w:fill="D9D9D9"/>
      <w:spacing w:before="100" w:after="100" w:line="240" w:lineRule="auto"/>
      <w:jc w:val="center"/>
    </w:pPr>
    <w:rPr>
      <w:rFonts w:eastAsia="Times New Roman" w:cs="Times New Roman"/>
      <w:b/>
      <w:bCs/>
      <w:szCs w:val="22"/>
      <w:lang w:val="de-AT" w:eastAsia="de-AT"/>
    </w:rPr>
  </w:style>
  <w:style w:type="paragraph" w:customStyle="1" w:styleId="Xl214">
    <w:name w:val="Xl214"/>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215">
    <w:name w:val="Xl215"/>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216">
    <w:name w:val="Xl216"/>
    <w:basedOn w:val="Normal"/>
    <w:uiPriority w:val="99"/>
    <w:pPr>
      <w:shd w:val="clear" w:color="auto" w:fill="D9D9D9"/>
      <w:spacing w:before="100" w:after="100" w:line="240" w:lineRule="auto"/>
      <w:jc w:val="center"/>
    </w:pPr>
    <w:rPr>
      <w:rFonts w:eastAsia="Times New Roman" w:cs="Times New Roman"/>
      <w:b/>
      <w:bCs/>
      <w:szCs w:val="22"/>
      <w:lang w:val="de-AT" w:eastAsia="de-AT"/>
    </w:rPr>
  </w:style>
  <w:style w:type="paragraph" w:customStyle="1" w:styleId="Xl217">
    <w:name w:val="Xl217"/>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218">
    <w:name w:val="Xl218"/>
    <w:basedOn w:val="Normal"/>
    <w:uiPriority w:val="99"/>
    <w:pPr>
      <w:shd w:val="clear" w:color="auto" w:fill="F2F2F2"/>
      <w:spacing w:before="100" w:after="100" w:line="240" w:lineRule="auto"/>
    </w:pPr>
    <w:rPr>
      <w:rFonts w:eastAsia="Times New Roman" w:cs="Times New Roman"/>
      <w:b/>
      <w:bCs/>
      <w:i/>
      <w:iCs/>
      <w:szCs w:val="22"/>
      <w:lang w:val="de-AT" w:eastAsia="de-AT"/>
    </w:rPr>
  </w:style>
  <w:style w:type="paragraph" w:customStyle="1" w:styleId="Xl219">
    <w:name w:val="Xl219"/>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eastAsia="Times New Roman" w:cs="Times New Roman"/>
      <w:szCs w:val="22"/>
      <w:lang w:val="de-AT" w:eastAsia="de-AT"/>
    </w:rPr>
  </w:style>
  <w:style w:type="paragraph" w:customStyle="1" w:styleId="Xl220">
    <w:name w:val="Xl220"/>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eastAsia="Times New Roman" w:cs="Times New Roman"/>
      <w:szCs w:val="22"/>
      <w:lang w:val="de-AT" w:eastAsia="de-AT"/>
    </w:rPr>
  </w:style>
  <w:style w:type="paragraph" w:customStyle="1" w:styleId="Xl221">
    <w:name w:val="Xl221"/>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eastAsia="Times New Roman" w:cs="Times New Roman"/>
      <w:b/>
      <w:bCs/>
      <w:szCs w:val="22"/>
      <w:lang w:val="de-AT" w:eastAsia="de-AT"/>
    </w:rPr>
  </w:style>
  <w:style w:type="paragraph" w:customStyle="1" w:styleId="Xl222">
    <w:name w:val="Xl222"/>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eastAsia="Times New Roman" w:cs="Times New Roman"/>
      <w:szCs w:val="22"/>
      <w:lang w:val="de-AT" w:eastAsia="de-AT"/>
    </w:rPr>
  </w:style>
  <w:style w:type="paragraph" w:customStyle="1" w:styleId="Xl223">
    <w:name w:val="Xl223"/>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eastAsia="Times New Roman" w:cs="Times New Roman"/>
      <w:szCs w:val="22"/>
      <w:lang w:val="de-AT" w:eastAsia="de-AT"/>
    </w:rPr>
  </w:style>
  <w:style w:type="paragraph" w:customStyle="1" w:styleId="Xl224">
    <w:name w:val="Xl224"/>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eastAsia="Times New Roman" w:cs="Times New Roman"/>
      <w:szCs w:val="22"/>
      <w:lang w:val="de-AT" w:eastAsia="de-AT"/>
    </w:rPr>
  </w:style>
  <w:style w:type="paragraph" w:customStyle="1" w:styleId="Xl225">
    <w:name w:val="Xl225"/>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eastAsia="Times New Roman" w:cs="Times New Roman"/>
      <w:szCs w:val="22"/>
      <w:lang w:val="de-AT" w:eastAsia="de-AT"/>
    </w:rPr>
  </w:style>
  <w:style w:type="paragraph" w:customStyle="1" w:styleId="Xl226">
    <w:name w:val="Xl226"/>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eastAsia="Times New Roman" w:cs="Times New Roman"/>
      <w:szCs w:val="22"/>
      <w:lang w:val="de-AT" w:eastAsia="de-AT"/>
    </w:rPr>
  </w:style>
  <w:style w:type="paragraph" w:customStyle="1" w:styleId="Xl227">
    <w:name w:val="Xl227"/>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eastAsia="Times New Roman" w:cs="Times New Roman"/>
      <w:szCs w:val="22"/>
      <w:lang w:val="de-AT" w:eastAsia="de-AT"/>
    </w:rPr>
  </w:style>
  <w:style w:type="paragraph" w:customStyle="1" w:styleId="Xl228">
    <w:name w:val="Xl228"/>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eastAsia="Times New Roman" w:cs="Times New Roman"/>
      <w:szCs w:val="22"/>
      <w:lang w:val="de-AT" w:eastAsia="de-AT"/>
    </w:rPr>
  </w:style>
  <w:style w:type="paragraph" w:customStyle="1" w:styleId="Xl229">
    <w:name w:val="Xl229"/>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eastAsia="Times New Roman" w:cs="Times New Roman"/>
      <w:szCs w:val="22"/>
      <w:lang w:val="de-AT" w:eastAsia="de-AT"/>
    </w:rPr>
  </w:style>
  <w:style w:type="paragraph" w:customStyle="1" w:styleId="Xl230">
    <w:name w:val="Xl230"/>
    <w:basedOn w:val="Normal"/>
    <w:uiPriority w:val="99"/>
    <w:pPr>
      <w:shd w:val="clear" w:color="auto" w:fill="FFFFFF"/>
      <w:spacing w:before="100" w:after="100" w:line="240" w:lineRule="auto"/>
    </w:pPr>
    <w:rPr>
      <w:rFonts w:eastAsia="Times New Roman" w:cs="Times New Roman"/>
      <w:i/>
      <w:iCs/>
      <w:szCs w:val="22"/>
      <w:lang w:val="de-AT" w:eastAsia="de-AT"/>
    </w:rPr>
  </w:style>
  <w:style w:type="paragraph" w:customStyle="1" w:styleId="Xl231">
    <w:name w:val="Xl231"/>
    <w:basedOn w:val="Normal"/>
    <w:uiPriority w:val="99"/>
    <w:pPr>
      <w:pBdr>
        <w:top w:val="double" w:sz="6" w:space="0" w:color="000000"/>
        <w:left w:val="double" w:sz="6" w:space="0" w:color="000000"/>
        <w:bottom w:val="double" w:sz="6" w:space="0" w:color="000000"/>
        <w:right w:val="double" w:sz="6" w:space="0" w:color="000000"/>
      </w:pBdr>
      <w:shd w:val="clear" w:color="auto" w:fill="D9D9D9"/>
      <w:spacing w:before="100" w:after="100" w:line="240" w:lineRule="auto"/>
      <w:jc w:val="center"/>
    </w:pPr>
    <w:rPr>
      <w:rFonts w:eastAsia="Times New Roman" w:cs="Times New Roman"/>
      <w:b/>
      <w:bCs/>
      <w:szCs w:val="22"/>
      <w:lang w:val="de-AT" w:eastAsia="de-AT"/>
    </w:rPr>
  </w:style>
  <w:style w:type="paragraph" w:customStyle="1" w:styleId="Xl232">
    <w:name w:val="Xl232"/>
    <w:basedOn w:val="Normal"/>
    <w:uiPriority w:val="99"/>
    <w:pPr>
      <w:spacing w:before="100" w:after="100" w:line="240" w:lineRule="auto"/>
    </w:pPr>
    <w:rPr>
      <w:rFonts w:eastAsia="Times New Roman" w:cs="Times New Roman"/>
      <w:szCs w:val="22"/>
      <w:lang w:val="de-AT" w:eastAsia="de-AT"/>
    </w:rPr>
  </w:style>
  <w:style w:type="paragraph" w:customStyle="1" w:styleId="Xl233">
    <w:name w:val="Xl233"/>
    <w:basedOn w:val="Normal"/>
    <w:uiPriority w:val="99"/>
    <w:pPr>
      <w:spacing w:before="100" w:after="100" w:line="240" w:lineRule="auto"/>
    </w:pPr>
    <w:rPr>
      <w:rFonts w:eastAsia="Times New Roman" w:cs="Times New Roman"/>
      <w:b/>
      <w:bCs/>
      <w:szCs w:val="22"/>
      <w:lang w:val="de-AT" w:eastAsia="de-AT"/>
    </w:rPr>
  </w:style>
  <w:style w:type="paragraph" w:customStyle="1" w:styleId="Xl234">
    <w:name w:val="Xl234"/>
    <w:basedOn w:val="Normal"/>
    <w:uiPriority w:val="99"/>
    <w:pPr>
      <w:spacing w:before="100" w:after="100" w:line="240" w:lineRule="auto"/>
      <w:jc w:val="center"/>
    </w:pPr>
    <w:rPr>
      <w:rFonts w:eastAsia="Times New Roman" w:cs="Times New Roman"/>
      <w:szCs w:val="22"/>
      <w:lang w:val="de-AT" w:eastAsia="de-AT"/>
    </w:rPr>
  </w:style>
  <w:style w:type="paragraph" w:customStyle="1" w:styleId="Xl235">
    <w:name w:val="Xl235"/>
    <w:basedOn w:val="Normal"/>
    <w:uiPriority w:val="99"/>
    <w:pPr>
      <w:spacing w:before="100" w:after="100" w:line="240" w:lineRule="auto"/>
      <w:jc w:val="center"/>
    </w:pPr>
    <w:rPr>
      <w:rFonts w:eastAsia="Times New Roman" w:cs="Times New Roman"/>
      <w:szCs w:val="22"/>
      <w:lang w:val="de-AT" w:eastAsia="de-AT"/>
    </w:rPr>
  </w:style>
  <w:style w:type="paragraph" w:customStyle="1" w:styleId="Xl236">
    <w:name w:val="Xl236"/>
    <w:basedOn w:val="Normal"/>
    <w:uiPriority w:val="99"/>
    <w:pPr>
      <w:spacing w:before="100" w:after="100" w:line="240" w:lineRule="auto"/>
      <w:jc w:val="center"/>
    </w:pPr>
    <w:rPr>
      <w:rFonts w:eastAsia="Times New Roman" w:cs="Times New Roman"/>
      <w:szCs w:val="22"/>
      <w:lang w:val="de-AT" w:eastAsia="de-AT"/>
    </w:rPr>
  </w:style>
  <w:style w:type="paragraph" w:customStyle="1" w:styleId="Xl237">
    <w:name w:val="Xl237"/>
    <w:basedOn w:val="Normal"/>
    <w:uiPriority w:val="99"/>
    <w:pPr>
      <w:spacing w:before="100" w:after="100" w:line="240" w:lineRule="auto"/>
      <w:jc w:val="center"/>
    </w:pPr>
    <w:rPr>
      <w:rFonts w:eastAsia="Times New Roman" w:cs="Times New Roman"/>
      <w:szCs w:val="22"/>
      <w:lang w:val="de-AT" w:eastAsia="de-AT"/>
    </w:rPr>
  </w:style>
  <w:style w:type="paragraph" w:customStyle="1" w:styleId="Xl238">
    <w:name w:val="Xl238"/>
    <w:basedOn w:val="Normal"/>
    <w:uiPriority w:val="99"/>
    <w:pPr>
      <w:spacing w:before="100" w:after="100" w:line="240" w:lineRule="auto"/>
    </w:pPr>
    <w:rPr>
      <w:rFonts w:eastAsia="Times New Roman" w:cs="Times New Roman"/>
      <w:szCs w:val="22"/>
      <w:lang w:val="de-AT" w:eastAsia="de-AT"/>
    </w:rPr>
  </w:style>
  <w:style w:type="paragraph" w:customStyle="1" w:styleId="Xl239">
    <w:name w:val="Xl239"/>
    <w:basedOn w:val="Normal"/>
    <w:uiPriority w:val="99"/>
    <w:pPr>
      <w:spacing w:before="100" w:after="100" w:line="240" w:lineRule="auto"/>
    </w:pPr>
    <w:rPr>
      <w:rFonts w:eastAsia="Times New Roman" w:cs="Times New Roman"/>
      <w:szCs w:val="22"/>
      <w:lang w:val="de-AT" w:eastAsia="de-AT"/>
    </w:rPr>
  </w:style>
  <w:style w:type="paragraph" w:customStyle="1" w:styleId="Xl240">
    <w:name w:val="Xl240"/>
    <w:basedOn w:val="Normal"/>
    <w:uiPriority w:val="99"/>
    <w:pPr>
      <w:spacing w:before="100" w:after="100" w:line="240" w:lineRule="auto"/>
    </w:pPr>
    <w:rPr>
      <w:rFonts w:eastAsia="Times New Roman" w:cs="Times New Roman"/>
      <w:szCs w:val="22"/>
      <w:lang w:val="de-AT" w:eastAsia="de-AT"/>
    </w:rPr>
  </w:style>
  <w:style w:type="paragraph" w:customStyle="1" w:styleId="Xl241">
    <w:name w:val="Xl241"/>
    <w:basedOn w:val="Normal"/>
    <w:uiPriority w:val="99"/>
    <w:pPr>
      <w:shd w:val="clear" w:color="auto" w:fill="FFFFFF"/>
      <w:spacing w:before="100" w:after="100" w:line="240" w:lineRule="auto"/>
    </w:pPr>
    <w:rPr>
      <w:rFonts w:eastAsia="Times New Roman" w:cs="Times New Roman"/>
      <w:b/>
      <w:bCs/>
      <w:szCs w:val="22"/>
      <w:lang w:val="de-AT" w:eastAsia="de-AT"/>
    </w:rPr>
  </w:style>
  <w:style w:type="paragraph" w:customStyle="1" w:styleId="Xl242">
    <w:name w:val="Xl242"/>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243">
    <w:name w:val="Xl243"/>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244">
    <w:name w:val="Xl244"/>
    <w:basedOn w:val="Normal"/>
    <w:uiPriority w:val="99"/>
    <w:pPr>
      <w:shd w:val="clear" w:color="auto" w:fill="FFFFFF"/>
      <w:spacing w:before="100" w:after="100" w:line="240" w:lineRule="auto"/>
    </w:pPr>
    <w:rPr>
      <w:rFonts w:eastAsia="Times New Roman" w:cs="Times New Roman"/>
      <w:i/>
      <w:iCs/>
      <w:szCs w:val="22"/>
      <w:lang w:val="de-AT" w:eastAsia="de-AT"/>
    </w:rPr>
  </w:style>
  <w:style w:type="paragraph" w:customStyle="1" w:styleId="Xl245">
    <w:name w:val="Xl245"/>
    <w:basedOn w:val="Normal"/>
    <w:uiPriority w:val="99"/>
    <w:pPr>
      <w:shd w:val="clear" w:color="auto" w:fill="F2F2F2"/>
      <w:spacing w:before="100" w:after="100" w:line="240" w:lineRule="auto"/>
    </w:pPr>
    <w:rPr>
      <w:rFonts w:eastAsia="Times New Roman" w:cs="Times New Roman"/>
      <w:b/>
      <w:bCs/>
      <w:i/>
      <w:iCs/>
      <w:szCs w:val="22"/>
      <w:lang w:val="de-AT" w:eastAsia="de-AT"/>
    </w:rPr>
  </w:style>
  <w:style w:type="paragraph" w:customStyle="1" w:styleId="Xl246">
    <w:name w:val="Xl246"/>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247">
    <w:name w:val="Xl247"/>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248">
    <w:name w:val="Xl248"/>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249">
    <w:name w:val="Xl249"/>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250">
    <w:name w:val="Xl250"/>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eastAsia="Times New Roman" w:cs="Times New Roman"/>
      <w:szCs w:val="22"/>
      <w:lang w:val="de-AT" w:eastAsia="de-AT"/>
    </w:rPr>
  </w:style>
  <w:style w:type="paragraph" w:customStyle="1" w:styleId="Xl251">
    <w:name w:val="Xl251"/>
    <w:basedOn w:val="Normal"/>
    <w:uiPriority w:val="99"/>
    <w:pPr>
      <w:spacing w:before="100" w:after="100" w:line="240" w:lineRule="auto"/>
    </w:pPr>
    <w:rPr>
      <w:rFonts w:eastAsia="Times New Roman" w:cs="Times New Roman"/>
      <w:szCs w:val="22"/>
      <w:lang w:val="de-AT" w:eastAsia="de-AT"/>
    </w:rPr>
  </w:style>
  <w:style w:type="paragraph" w:customStyle="1" w:styleId="Xl252">
    <w:name w:val="Xl252"/>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253">
    <w:name w:val="Xl253"/>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254">
    <w:name w:val="Xl254"/>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255">
    <w:name w:val="Xl255"/>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256">
    <w:name w:val="Xl256"/>
    <w:basedOn w:val="Normal"/>
    <w:uiPriority w:val="99"/>
    <w:pPr>
      <w:shd w:val="clear" w:color="auto" w:fill="D9D9D9"/>
      <w:spacing w:before="100" w:after="100" w:line="240" w:lineRule="auto"/>
      <w:jc w:val="center"/>
    </w:pPr>
    <w:rPr>
      <w:rFonts w:eastAsia="Times New Roman" w:cs="Times New Roman"/>
      <w:b/>
      <w:bCs/>
      <w:szCs w:val="22"/>
      <w:lang w:val="de-AT" w:eastAsia="de-AT"/>
    </w:rPr>
  </w:style>
  <w:style w:type="paragraph" w:customStyle="1" w:styleId="Xl257">
    <w:name w:val="Xl257"/>
    <w:basedOn w:val="Normal"/>
    <w:uiPriority w:val="99"/>
    <w:pPr>
      <w:shd w:val="clear" w:color="auto" w:fill="D9D9D9"/>
      <w:spacing w:before="100" w:after="100" w:line="240" w:lineRule="auto"/>
      <w:jc w:val="center"/>
    </w:pPr>
    <w:rPr>
      <w:rFonts w:eastAsia="Times New Roman" w:cs="Times New Roman"/>
      <w:b/>
      <w:bCs/>
      <w:szCs w:val="22"/>
      <w:lang w:val="de-AT" w:eastAsia="de-AT"/>
    </w:rPr>
  </w:style>
  <w:style w:type="paragraph" w:customStyle="1" w:styleId="Xl258">
    <w:name w:val="Xl258"/>
    <w:basedOn w:val="Normal"/>
    <w:uiPriority w:val="99"/>
    <w:pPr>
      <w:shd w:val="clear" w:color="auto" w:fill="D9D9D9"/>
      <w:spacing w:before="100" w:after="100" w:line="240" w:lineRule="auto"/>
      <w:jc w:val="center"/>
    </w:pPr>
    <w:rPr>
      <w:rFonts w:eastAsia="Times New Roman" w:cs="Times New Roman"/>
      <w:b/>
      <w:bCs/>
      <w:szCs w:val="22"/>
      <w:lang w:val="de-AT" w:eastAsia="de-AT"/>
    </w:rPr>
  </w:style>
  <w:style w:type="paragraph" w:customStyle="1" w:styleId="Xl259">
    <w:name w:val="Xl259"/>
    <w:basedOn w:val="Normal"/>
    <w:uiPriority w:val="99"/>
    <w:pPr>
      <w:shd w:val="clear" w:color="auto" w:fill="D9D9D9"/>
      <w:spacing w:before="100" w:after="100" w:line="240" w:lineRule="auto"/>
      <w:jc w:val="center"/>
    </w:pPr>
    <w:rPr>
      <w:rFonts w:eastAsia="Times New Roman" w:cs="Times New Roman"/>
      <w:b/>
      <w:bCs/>
      <w:szCs w:val="22"/>
      <w:lang w:val="de-AT" w:eastAsia="de-AT"/>
    </w:rPr>
  </w:style>
  <w:style w:type="paragraph" w:customStyle="1" w:styleId="Xl260">
    <w:name w:val="Xl260"/>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261">
    <w:name w:val="Xl261"/>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262">
    <w:name w:val="Xl262"/>
    <w:basedOn w:val="Normal"/>
    <w:uiPriority w:val="99"/>
    <w:pPr>
      <w:shd w:val="clear" w:color="auto" w:fill="FFFFFF"/>
      <w:spacing w:before="100" w:after="100" w:line="240" w:lineRule="auto"/>
    </w:pPr>
    <w:rPr>
      <w:rFonts w:eastAsia="Times New Roman" w:cs="Times New Roman"/>
      <w:b/>
      <w:bCs/>
      <w:szCs w:val="22"/>
      <w:lang w:val="de-AT" w:eastAsia="de-AT"/>
    </w:rPr>
  </w:style>
  <w:style w:type="paragraph" w:customStyle="1" w:styleId="Xl263">
    <w:name w:val="Xl263"/>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264">
    <w:name w:val="Xl264"/>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265">
    <w:name w:val="Xl265"/>
    <w:basedOn w:val="Normal"/>
    <w:uiPriority w:val="99"/>
    <w:pPr>
      <w:shd w:val="clear" w:color="auto" w:fill="F2F2F2"/>
      <w:spacing w:before="100" w:after="100" w:line="240" w:lineRule="auto"/>
    </w:pPr>
    <w:rPr>
      <w:rFonts w:eastAsia="Times New Roman" w:cs="Times New Roman"/>
      <w:b/>
      <w:bCs/>
      <w:i/>
      <w:iCs/>
      <w:szCs w:val="22"/>
      <w:lang w:val="de-AT" w:eastAsia="de-AT"/>
    </w:rPr>
  </w:style>
  <w:style w:type="paragraph" w:customStyle="1" w:styleId="Xl266">
    <w:name w:val="Xl266"/>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267">
    <w:name w:val="Xl267"/>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268">
    <w:name w:val="Xl268"/>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269">
    <w:name w:val="Xl269"/>
    <w:basedOn w:val="Normal"/>
    <w:uiPriority w:val="99"/>
    <w:pPr>
      <w:shd w:val="clear" w:color="auto" w:fill="FFFFFF"/>
      <w:spacing w:before="100" w:after="100" w:line="240" w:lineRule="auto"/>
      <w:jc w:val="center"/>
    </w:pPr>
    <w:rPr>
      <w:rFonts w:eastAsia="Times New Roman" w:cs="Times New Roman"/>
      <w:i/>
      <w:iCs/>
      <w:szCs w:val="22"/>
      <w:lang w:val="de-AT" w:eastAsia="de-AT"/>
    </w:rPr>
  </w:style>
  <w:style w:type="paragraph" w:customStyle="1" w:styleId="Xl270">
    <w:name w:val="Xl270"/>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271">
    <w:name w:val="Xl271"/>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272">
    <w:name w:val="Xl272"/>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273">
    <w:name w:val="Xl273"/>
    <w:basedOn w:val="Normal"/>
    <w:uiPriority w:val="99"/>
    <w:pPr>
      <w:shd w:val="clear" w:color="auto" w:fill="FFFFFF"/>
      <w:spacing w:before="100" w:after="100" w:line="240" w:lineRule="auto"/>
    </w:pPr>
    <w:rPr>
      <w:rFonts w:eastAsia="Times New Roman" w:cs="Times New Roman"/>
      <w:i/>
      <w:iCs/>
      <w:szCs w:val="22"/>
      <w:lang w:val="de-AT" w:eastAsia="de-AT"/>
    </w:rPr>
  </w:style>
  <w:style w:type="paragraph" w:customStyle="1" w:styleId="Xl274">
    <w:name w:val="Xl274"/>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eastAsia="Times New Roman" w:cs="Times New Roman"/>
      <w:szCs w:val="22"/>
      <w:lang w:val="de-AT" w:eastAsia="de-AT"/>
    </w:rPr>
  </w:style>
  <w:style w:type="paragraph" w:customStyle="1" w:styleId="Xl275">
    <w:name w:val="Xl275"/>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eastAsia="Times New Roman" w:cs="Times New Roman"/>
      <w:szCs w:val="22"/>
      <w:lang w:val="de-AT" w:eastAsia="de-AT"/>
    </w:rPr>
  </w:style>
  <w:style w:type="paragraph" w:customStyle="1" w:styleId="Xl276">
    <w:name w:val="Xl276"/>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eastAsia="Times New Roman" w:cs="Times New Roman"/>
      <w:szCs w:val="22"/>
      <w:lang w:val="de-AT" w:eastAsia="de-AT"/>
    </w:rPr>
  </w:style>
  <w:style w:type="paragraph" w:customStyle="1" w:styleId="Xl277">
    <w:name w:val="Xl277"/>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eastAsia="Times New Roman" w:cs="Times New Roman"/>
      <w:szCs w:val="22"/>
      <w:lang w:val="de-AT" w:eastAsia="de-AT"/>
    </w:rPr>
  </w:style>
  <w:style w:type="paragraph" w:customStyle="1" w:styleId="Xl278">
    <w:name w:val="Xl278"/>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eastAsia="Times New Roman" w:cs="Times New Roman"/>
      <w:szCs w:val="22"/>
      <w:lang w:val="de-AT" w:eastAsia="de-AT"/>
    </w:rPr>
  </w:style>
  <w:style w:type="paragraph" w:customStyle="1" w:styleId="Xl279">
    <w:name w:val="Xl279"/>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eastAsia="Times New Roman" w:cs="Times New Roman"/>
      <w:szCs w:val="22"/>
      <w:lang w:val="de-AT" w:eastAsia="de-AT"/>
    </w:rPr>
  </w:style>
  <w:style w:type="paragraph" w:customStyle="1" w:styleId="Xl280">
    <w:name w:val="Xl280"/>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eastAsia="Times New Roman" w:cs="Times New Roman"/>
      <w:szCs w:val="22"/>
      <w:lang w:val="de-AT" w:eastAsia="de-AT"/>
    </w:rPr>
  </w:style>
  <w:style w:type="paragraph" w:customStyle="1" w:styleId="Xl281">
    <w:name w:val="Xl281"/>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eastAsia="Times New Roman" w:cs="Times New Roman"/>
      <w:szCs w:val="22"/>
      <w:lang w:val="de-AT" w:eastAsia="de-AT"/>
    </w:rPr>
  </w:style>
  <w:style w:type="paragraph" w:customStyle="1" w:styleId="Xl282">
    <w:name w:val="Xl282"/>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283">
    <w:name w:val="Xl283"/>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284">
    <w:name w:val="Xl284"/>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285">
    <w:name w:val="Xl285"/>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286">
    <w:name w:val="Xl286"/>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287">
    <w:name w:val="Xl287"/>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288">
    <w:name w:val="Xl288"/>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289">
    <w:name w:val="Xl289"/>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290">
    <w:name w:val="Xl290"/>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291">
    <w:name w:val="Xl291"/>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292">
    <w:name w:val="Xl292"/>
    <w:basedOn w:val="Normal"/>
    <w:uiPriority w:val="99"/>
    <w:pPr>
      <w:shd w:val="clear" w:color="auto" w:fill="FFFFFF"/>
      <w:spacing w:before="100" w:after="100" w:line="240" w:lineRule="auto"/>
    </w:pPr>
    <w:rPr>
      <w:rFonts w:eastAsia="Times New Roman" w:cs="Times New Roman"/>
      <w:b/>
      <w:bCs/>
      <w:szCs w:val="22"/>
      <w:lang w:val="de-AT" w:eastAsia="de-AT"/>
    </w:rPr>
  </w:style>
  <w:style w:type="paragraph" w:customStyle="1" w:styleId="Xl293">
    <w:name w:val="Xl293"/>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294">
    <w:name w:val="Xl294"/>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295">
    <w:name w:val="Xl295"/>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296">
    <w:name w:val="Xl296"/>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297">
    <w:name w:val="Xl297"/>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298">
    <w:name w:val="Xl298"/>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299">
    <w:name w:val="Xl299"/>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300">
    <w:name w:val="Xl300"/>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301">
    <w:name w:val="Xl301"/>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302">
    <w:name w:val="Xl302"/>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303">
    <w:name w:val="Xl303"/>
    <w:basedOn w:val="Normal"/>
    <w:uiPriority w:val="99"/>
    <w:pPr>
      <w:shd w:val="clear" w:color="auto" w:fill="D9D9D9"/>
      <w:spacing w:before="100" w:after="100" w:line="240" w:lineRule="auto"/>
      <w:jc w:val="center"/>
    </w:pPr>
    <w:rPr>
      <w:rFonts w:eastAsia="Times New Roman" w:cs="Times New Roman"/>
      <w:b/>
      <w:bCs/>
      <w:szCs w:val="22"/>
      <w:lang w:val="de-AT" w:eastAsia="de-AT"/>
    </w:rPr>
  </w:style>
  <w:style w:type="paragraph" w:customStyle="1" w:styleId="Xl304">
    <w:name w:val="Xl304"/>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305">
    <w:name w:val="Xl305"/>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306">
    <w:name w:val="Xl306"/>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307">
    <w:name w:val="Xl307"/>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308">
    <w:name w:val="Xl308"/>
    <w:basedOn w:val="Normal"/>
    <w:uiPriority w:val="99"/>
    <w:pPr>
      <w:shd w:val="clear" w:color="auto" w:fill="F2F2F2"/>
      <w:spacing w:before="100" w:after="100" w:line="240" w:lineRule="auto"/>
    </w:pPr>
    <w:rPr>
      <w:rFonts w:eastAsia="Times New Roman" w:cs="Times New Roman"/>
      <w:b/>
      <w:bCs/>
      <w:i/>
      <w:iCs/>
      <w:szCs w:val="22"/>
      <w:lang w:val="de-AT" w:eastAsia="de-AT"/>
    </w:rPr>
  </w:style>
  <w:style w:type="paragraph" w:customStyle="1" w:styleId="Xl309">
    <w:name w:val="Xl309"/>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310">
    <w:name w:val="Xl310"/>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311">
    <w:name w:val="Xl311"/>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312">
    <w:name w:val="Xl312"/>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313">
    <w:name w:val="Xl313"/>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314">
    <w:name w:val="Xl314"/>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315">
    <w:name w:val="Xl315"/>
    <w:basedOn w:val="Normal"/>
    <w:uiPriority w:val="99"/>
    <w:pPr>
      <w:shd w:val="clear" w:color="auto" w:fill="D9D9D9"/>
      <w:spacing w:before="100" w:after="100" w:line="240" w:lineRule="auto"/>
    </w:pPr>
    <w:rPr>
      <w:rFonts w:eastAsia="Times New Roman" w:cs="Times New Roman"/>
      <w:b/>
      <w:bCs/>
      <w:szCs w:val="22"/>
      <w:lang w:val="de-AT" w:eastAsia="de-AT"/>
    </w:rPr>
  </w:style>
  <w:style w:type="paragraph" w:customStyle="1" w:styleId="Xl316">
    <w:name w:val="Xl316"/>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317">
    <w:name w:val="Xl317"/>
    <w:basedOn w:val="Normal"/>
    <w:uiPriority w:val="99"/>
    <w:pPr>
      <w:shd w:val="clear" w:color="auto" w:fill="FFFFFF"/>
      <w:spacing w:before="100" w:after="100" w:line="240" w:lineRule="auto"/>
      <w:jc w:val="center"/>
    </w:pPr>
    <w:rPr>
      <w:rFonts w:eastAsia="Times New Roman" w:cs="Times New Roman"/>
      <w:i/>
      <w:iCs/>
      <w:szCs w:val="22"/>
      <w:lang w:val="de-AT" w:eastAsia="de-AT"/>
    </w:rPr>
  </w:style>
  <w:style w:type="paragraph" w:customStyle="1" w:styleId="Xl318">
    <w:name w:val="Xl318"/>
    <w:basedOn w:val="Normal"/>
    <w:uiPriority w:val="99"/>
    <w:pPr>
      <w:shd w:val="clear" w:color="auto" w:fill="F2F2F2"/>
      <w:spacing w:before="100" w:after="100" w:line="240" w:lineRule="auto"/>
    </w:pPr>
    <w:rPr>
      <w:rFonts w:eastAsia="Times New Roman" w:cs="Times New Roman"/>
      <w:szCs w:val="22"/>
      <w:lang w:val="de-AT" w:eastAsia="de-AT"/>
    </w:rPr>
  </w:style>
  <w:style w:type="paragraph" w:customStyle="1" w:styleId="Xl319">
    <w:name w:val="Xl319"/>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320">
    <w:name w:val="Xl320"/>
    <w:basedOn w:val="Normal"/>
    <w:uiPriority w:val="99"/>
    <w:pPr>
      <w:shd w:val="clear" w:color="auto" w:fill="FFFFFF"/>
      <w:spacing w:before="100" w:after="100" w:line="240" w:lineRule="auto"/>
      <w:jc w:val="center"/>
    </w:pPr>
    <w:rPr>
      <w:rFonts w:eastAsia="Times New Roman" w:cs="Times New Roman"/>
      <w:szCs w:val="22"/>
      <w:lang w:val="de-AT" w:eastAsia="de-AT"/>
    </w:rPr>
  </w:style>
  <w:style w:type="paragraph" w:customStyle="1" w:styleId="Xl321">
    <w:name w:val="Xl321"/>
    <w:basedOn w:val="Normal"/>
    <w:uiPriority w:val="99"/>
    <w:pPr>
      <w:shd w:val="clear" w:color="auto" w:fill="FFFFFF"/>
      <w:spacing w:before="100" w:after="100" w:line="240" w:lineRule="auto"/>
    </w:pPr>
    <w:rPr>
      <w:rFonts w:eastAsia="Times New Roman" w:cs="Times New Roman"/>
      <w:b/>
      <w:bCs/>
      <w:szCs w:val="22"/>
      <w:lang w:val="de-AT" w:eastAsia="de-AT"/>
    </w:rPr>
  </w:style>
  <w:style w:type="paragraph" w:customStyle="1" w:styleId="Xl322">
    <w:name w:val="Xl322"/>
    <w:basedOn w:val="Normal"/>
    <w:uiPriority w:val="99"/>
    <w:pPr>
      <w:shd w:val="clear" w:color="auto" w:fill="FFFFFF"/>
      <w:spacing w:before="100" w:after="100" w:line="240" w:lineRule="auto"/>
      <w:jc w:val="center"/>
    </w:pPr>
    <w:rPr>
      <w:rFonts w:eastAsia="Times New Roman" w:cs="Times New Roman"/>
      <w:b/>
      <w:bCs/>
      <w:szCs w:val="22"/>
      <w:lang w:val="de-AT" w:eastAsia="de-AT"/>
    </w:rPr>
  </w:style>
  <w:style w:type="paragraph" w:customStyle="1" w:styleId="Xl323">
    <w:name w:val="Xl323"/>
    <w:basedOn w:val="Normal"/>
    <w:uiPriority w:val="99"/>
    <w:pPr>
      <w:shd w:val="clear" w:color="auto" w:fill="FFFFFF"/>
      <w:spacing w:before="100" w:after="100" w:line="240" w:lineRule="auto"/>
      <w:jc w:val="center"/>
    </w:pPr>
    <w:rPr>
      <w:rFonts w:eastAsia="Times New Roman" w:cs="Times New Roman"/>
      <w:b/>
      <w:bCs/>
      <w:szCs w:val="22"/>
      <w:lang w:val="de-AT" w:eastAsia="de-AT"/>
    </w:rPr>
  </w:style>
  <w:style w:type="paragraph" w:customStyle="1" w:styleId="Xl324">
    <w:name w:val="Xl324"/>
    <w:basedOn w:val="Normal"/>
    <w:uiPriority w:val="99"/>
    <w:pPr>
      <w:shd w:val="clear" w:color="auto" w:fill="FFFFFF"/>
      <w:spacing w:before="100" w:after="100" w:line="240" w:lineRule="auto"/>
      <w:jc w:val="center"/>
    </w:pPr>
    <w:rPr>
      <w:rFonts w:eastAsia="Times New Roman" w:cs="Times New Roman"/>
      <w:b/>
      <w:bCs/>
      <w:szCs w:val="22"/>
      <w:lang w:val="de-AT" w:eastAsia="de-AT"/>
    </w:rPr>
  </w:style>
  <w:style w:type="paragraph" w:customStyle="1" w:styleId="Xl325">
    <w:name w:val="Xl325"/>
    <w:basedOn w:val="Normal"/>
    <w:uiPriority w:val="99"/>
    <w:pPr>
      <w:shd w:val="clear" w:color="auto" w:fill="FFFFFF"/>
      <w:spacing w:before="100" w:after="100" w:line="240" w:lineRule="auto"/>
      <w:jc w:val="center"/>
    </w:pPr>
    <w:rPr>
      <w:rFonts w:eastAsia="Times New Roman" w:cs="Times New Roman"/>
      <w:b/>
      <w:bCs/>
      <w:szCs w:val="22"/>
      <w:lang w:val="de-AT" w:eastAsia="de-AT"/>
    </w:rPr>
  </w:style>
  <w:style w:type="paragraph" w:customStyle="1" w:styleId="Xl326">
    <w:name w:val="Xl326"/>
    <w:basedOn w:val="Normal"/>
    <w:uiPriority w:val="99"/>
    <w:pPr>
      <w:shd w:val="clear" w:color="auto" w:fill="FFFFFF"/>
      <w:spacing w:before="100" w:after="100" w:line="240" w:lineRule="auto"/>
    </w:pPr>
    <w:rPr>
      <w:rFonts w:eastAsia="Times New Roman" w:cs="Times New Roman"/>
      <w:b/>
      <w:bCs/>
      <w:szCs w:val="22"/>
      <w:lang w:val="de-AT" w:eastAsia="de-AT"/>
    </w:rPr>
  </w:style>
  <w:style w:type="paragraph" w:customStyle="1" w:styleId="Xl327">
    <w:name w:val="Xl327"/>
    <w:basedOn w:val="Normal"/>
    <w:uiPriority w:val="99"/>
    <w:pPr>
      <w:shd w:val="clear" w:color="auto" w:fill="FFFFFF"/>
      <w:spacing w:before="100" w:after="100" w:line="240" w:lineRule="auto"/>
    </w:pPr>
    <w:rPr>
      <w:rFonts w:eastAsia="Times New Roman" w:cs="Times New Roman"/>
      <w:b/>
      <w:bCs/>
      <w:szCs w:val="22"/>
      <w:lang w:val="de-AT" w:eastAsia="de-AT"/>
    </w:rPr>
  </w:style>
  <w:style w:type="paragraph" w:customStyle="1" w:styleId="Xl328">
    <w:name w:val="Xl328"/>
    <w:basedOn w:val="Normal"/>
    <w:uiPriority w:val="99"/>
    <w:pPr>
      <w:shd w:val="clear" w:color="auto" w:fill="FFFFFF"/>
      <w:spacing w:before="100" w:after="100" w:line="240" w:lineRule="auto"/>
    </w:pPr>
    <w:rPr>
      <w:rFonts w:eastAsia="Times New Roman" w:cs="Times New Roman"/>
      <w:b/>
      <w:bCs/>
      <w:szCs w:val="22"/>
      <w:lang w:val="de-AT" w:eastAsia="de-AT"/>
    </w:rPr>
  </w:style>
  <w:style w:type="paragraph" w:customStyle="1" w:styleId="Xl329">
    <w:name w:val="Xl329"/>
    <w:basedOn w:val="Normal"/>
    <w:uiPriority w:val="99"/>
    <w:pPr>
      <w:shd w:val="clear" w:color="auto" w:fill="FFFFFF"/>
      <w:spacing w:before="100" w:after="100" w:line="240" w:lineRule="auto"/>
    </w:pPr>
    <w:rPr>
      <w:rFonts w:eastAsia="Times New Roman" w:cs="Times New Roman"/>
      <w:i/>
      <w:iCs/>
      <w:szCs w:val="22"/>
      <w:lang w:val="de-AT" w:eastAsia="de-AT"/>
    </w:rPr>
  </w:style>
  <w:style w:type="paragraph" w:customStyle="1" w:styleId="Xl330">
    <w:name w:val="Xl330"/>
    <w:basedOn w:val="Normal"/>
    <w:uiPriority w:val="99"/>
    <w:pPr>
      <w:shd w:val="clear" w:color="auto" w:fill="FFFFFF"/>
      <w:spacing w:before="100" w:after="100" w:line="240" w:lineRule="auto"/>
    </w:pPr>
    <w:rPr>
      <w:rFonts w:eastAsia="Times New Roman" w:cs="Times New Roman"/>
      <w:i/>
      <w:iCs/>
      <w:szCs w:val="22"/>
      <w:lang w:val="de-AT" w:eastAsia="de-AT"/>
    </w:rPr>
  </w:style>
  <w:style w:type="paragraph" w:customStyle="1" w:styleId="Xl331">
    <w:name w:val="Xl331"/>
    <w:basedOn w:val="Normal"/>
    <w:uiPriority w:val="99"/>
    <w:pPr>
      <w:shd w:val="clear" w:color="auto" w:fill="FFFFFF"/>
      <w:spacing w:before="100" w:after="100" w:line="240" w:lineRule="auto"/>
    </w:pPr>
    <w:rPr>
      <w:rFonts w:eastAsia="Times New Roman" w:cs="Times New Roman"/>
      <w:b/>
      <w:bCs/>
      <w:i/>
      <w:iCs/>
      <w:szCs w:val="22"/>
      <w:lang w:val="de-AT" w:eastAsia="de-AT"/>
    </w:rPr>
  </w:style>
  <w:style w:type="paragraph" w:customStyle="1" w:styleId="Xl332">
    <w:name w:val="Xl332"/>
    <w:basedOn w:val="Normal"/>
    <w:uiPriority w:val="99"/>
    <w:pPr>
      <w:shd w:val="clear" w:color="auto" w:fill="FFFFFF"/>
      <w:spacing w:before="100" w:after="100" w:line="240" w:lineRule="auto"/>
      <w:jc w:val="center"/>
    </w:pPr>
    <w:rPr>
      <w:rFonts w:eastAsia="Times New Roman" w:cs="Times New Roman"/>
      <w:i/>
      <w:iCs/>
      <w:szCs w:val="22"/>
      <w:lang w:val="de-AT" w:eastAsia="de-AT"/>
    </w:rPr>
  </w:style>
  <w:style w:type="paragraph" w:customStyle="1" w:styleId="Xl333">
    <w:name w:val="Xl333"/>
    <w:basedOn w:val="Normal"/>
    <w:uiPriority w:val="99"/>
    <w:pPr>
      <w:shd w:val="clear" w:color="auto" w:fill="FFFFFF"/>
      <w:spacing w:before="100" w:after="100" w:line="240" w:lineRule="auto"/>
      <w:jc w:val="center"/>
    </w:pPr>
    <w:rPr>
      <w:rFonts w:eastAsia="Times New Roman" w:cs="Times New Roman"/>
      <w:i/>
      <w:iCs/>
      <w:szCs w:val="22"/>
      <w:lang w:val="de-AT" w:eastAsia="de-AT"/>
    </w:rPr>
  </w:style>
  <w:style w:type="paragraph" w:customStyle="1" w:styleId="Xl334">
    <w:name w:val="Xl334"/>
    <w:basedOn w:val="Normal"/>
    <w:uiPriority w:val="99"/>
    <w:pPr>
      <w:shd w:val="clear" w:color="auto" w:fill="FFFFFF"/>
      <w:spacing w:before="100" w:after="100" w:line="240" w:lineRule="auto"/>
      <w:jc w:val="center"/>
    </w:pPr>
    <w:rPr>
      <w:rFonts w:eastAsia="Times New Roman" w:cs="Times New Roman"/>
      <w:i/>
      <w:iCs/>
      <w:szCs w:val="22"/>
      <w:lang w:val="de-AT" w:eastAsia="de-AT"/>
    </w:rPr>
  </w:style>
  <w:style w:type="paragraph" w:customStyle="1" w:styleId="Xl335">
    <w:name w:val="Xl335"/>
    <w:basedOn w:val="Normal"/>
    <w:uiPriority w:val="99"/>
    <w:pPr>
      <w:shd w:val="clear" w:color="auto" w:fill="FFFFFF"/>
      <w:spacing w:before="100" w:after="100" w:line="240" w:lineRule="auto"/>
    </w:pPr>
    <w:rPr>
      <w:rFonts w:eastAsia="Times New Roman" w:cs="Times New Roman"/>
      <w:i/>
      <w:iCs/>
      <w:szCs w:val="22"/>
      <w:lang w:val="de-AT" w:eastAsia="de-AT"/>
    </w:rPr>
  </w:style>
  <w:style w:type="paragraph" w:customStyle="1" w:styleId="Xl336">
    <w:name w:val="Xl336"/>
    <w:basedOn w:val="Normal"/>
    <w:uiPriority w:val="99"/>
    <w:pPr>
      <w:shd w:val="clear" w:color="auto" w:fill="FFFFFF"/>
      <w:spacing w:before="100" w:after="100" w:line="240" w:lineRule="auto"/>
      <w:jc w:val="center"/>
    </w:pPr>
    <w:rPr>
      <w:rFonts w:eastAsia="Times New Roman" w:cs="Times New Roman"/>
      <w:i/>
      <w:iCs/>
      <w:szCs w:val="22"/>
      <w:lang w:val="de-AT" w:eastAsia="de-AT"/>
    </w:rPr>
  </w:style>
  <w:style w:type="paragraph" w:customStyle="1" w:styleId="Xl337">
    <w:name w:val="Xl337"/>
    <w:basedOn w:val="Normal"/>
    <w:uiPriority w:val="99"/>
    <w:pPr>
      <w:shd w:val="clear" w:color="auto" w:fill="FFFFFF"/>
      <w:spacing w:before="100" w:after="100" w:line="240" w:lineRule="auto"/>
    </w:pPr>
    <w:rPr>
      <w:rFonts w:eastAsia="Times New Roman" w:cs="Times New Roman"/>
      <w:i/>
      <w:iCs/>
      <w:szCs w:val="22"/>
      <w:lang w:val="de-AT" w:eastAsia="de-AT"/>
    </w:rPr>
  </w:style>
  <w:style w:type="paragraph" w:customStyle="1" w:styleId="Xl338">
    <w:name w:val="Xl338"/>
    <w:basedOn w:val="Normal"/>
    <w:uiPriority w:val="99"/>
    <w:pPr>
      <w:shd w:val="clear" w:color="auto" w:fill="FFFFFF"/>
      <w:spacing w:before="100" w:after="100" w:line="240" w:lineRule="auto"/>
    </w:pPr>
    <w:rPr>
      <w:rFonts w:eastAsia="Times New Roman" w:cs="Times New Roman"/>
      <w:b/>
      <w:bCs/>
      <w:szCs w:val="22"/>
      <w:lang w:val="de-AT" w:eastAsia="de-AT"/>
    </w:rPr>
  </w:style>
  <w:style w:type="paragraph" w:customStyle="1" w:styleId="Xl339">
    <w:name w:val="Xl339"/>
    <w:basedOn w:val="Normal"/>
    <w:uiPriority w:val="99"/>
    <w:pPr>
      <w:shd w:val="clear" w:color="auto" w:fill="FFFFFF"/>
      <w:spacing w:before="100" w:after="100" w:line="240" w:lineRule="auto"/>
      <w:jc w:val="center"/>
    </w:pPr>
    <w:rPr>
      <w:rFonts w:eastAsia="Times New Roman" w:cs="Times New Roman"/>
      <w:b/>
      <w:bCs/>
      <w:szCs w:val="22"/>
      <w:lang w:val="de-AT" w:eastAsia="de-AT"/>
    </w:rPr>
  </w:style>
  <w:style w:type="paragraph" w:customStyle="1" w:styleId="Xl340">
    <w:name w:val="Xl340"/>
    <w:basedOn w:val="Normal"/>
    <w:uiPriority w:val="99"/>
    <w:pPr>
      <w:shd w:val="clear" w:color="auto" w:fill="FFFFFF"/>
      <w:spacing w:before="100" w:after="100" w:line="240" w:lineRule="auto"/>
      <w:jc w:val="center"/>
    </w:pPr>
    <w:rPr>
      <w:rFonts w:eastAsia="Times New Roman" w:cs="Times New Roman"/>
      <w:i/>
      <w:iCs/>
      <w:szCs w:val="22"/>
      <w:lang w:val="de-AT" w:eastAsia="de-AT"/>
    </w:rPr>
  </w:style>
  <w:style w:type="paragraph" w:customStyle="1" w:styleId="Xl341">
    <w:name w:val="Xl341"/>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342">
    <w:name w:val="Xl342"/>
    <w:basedOn w:val="Normal"/>
    <w:uiPriority w:val="99"/>
    <w:pPr>
      <w:shd w:val="clear" w:color="auto" w:fill="FFFFFF"/>
      <w:spacing w:before="100" w:after="100" w:line="240" w:lineRule="auto"/>
    </w:pPr>
    <w:rPr>
      <w:rFonts w:eastAsia="Times New Roman" w:cs="Times New Roman"/>
      <w:i/>
      <w:iCs/>
      <w:szCs w:val="22"/>
      <w:lang w:val="de-AT" w:eastAsia="de-AT"/>
    </w:rPr>
  </w:style>
  <w:style w:type="paragraph" w:customStyle="1" w:styleId="Xl343">
    <w:name w:val="Xl343"/>
    <w:basedOn w:val="Normal"/>
    <w:uiPriority w:val="99"/>
    <w:pPr>
      <w:shd w:val="clear" w:color="auto" w:fill="D9D9D9"/>
      <w:spacing w:before="100" w:after="100" w:line="240" w:lineRule="auto"/>
    </w:pPr>
    <w:rPr>
      <w:rFonts w:eastAsia="Times New Roman" w:cs="Times New Roman"/>
      <w:b/>
      <w:bCs/>
      <w:i/>
      <w:iCs/>
      <w:szCs w:val="22"/>
      <w:lang w:val="de-AT" w:eastAsia="de-AT"/>
    </w:rPr>
  </w:style>
  <w:style w:type="paragraph" w:customStyle="1" w:styleId="Xl344">
    <w:name w:val="Xl344"/>
    <w:basedOn w:val="Normal"/>
    <w:uiPriority w:val="99"/>
    <w:pPr>
      <w:shd w:val="clear" w:color="auto" w:fill="D9D9D9"/>
      <w:spacing w:before="100" w:after="100" w:line="240" w:lineRule="auto"/>
    </w:pPr>
    <w:rPr>
      <w:rFonts w:eastAsia="Times New Roman" w:cs="Times New Roman"/>
      <w:b/>
      <w:bCs/>
      <w:i/>
      <w:iCs/>
      <w:szCs w:val="22"/>
      <w:lang w:val="de-AT" w:eastAsia="de-AT"/>
    </w:rPr>
  </w:style>
  <w:style w:type="paragraph" w:customStyle="1" w:styleId="Xl345">
    <w:name w:val="Xl345"/>
    <w:basedOn w:val="Normal"/>
    <w:uiPriority w:val="99"/>
    <w:pPr>
      <w:shd w:val="clear" w:color="auto" w:fill="D9D9D9"/>
      <w:spacing w:before="100" w:after="100" w:line="240" w:lineRule="auto"/>
      <w:jc w:val="center"/>
    </w:pPr>
    <w:rPr>
      <w:rFonts w:eastAsia="Times New Roman" w:cs="Times New Roman"/>
      <w:b/>
      <w:bCs/>
      <w:i/>
      <w:iCs/>
      <w:szCs w:val="22"/>
      <w:lang w:val="de-AT" w:eastAsia="de-AT"/>
    </w:rPr>
  </w:style>
  <w:style w:type="paragraph" w:customStyle="1" w:styleId="Xl346">
    <w:name w:val="Xl346"/>
    <w:basedOn w:val="Normal"/>
    <w:uiPriority w:val="99"/>
    <w:pPr>
      <w:shd w:val="clear" w:color="auto" w:fill="D9D9D9"/>
      <w:spacing w:before="100" w:after="100" w:line="240" w:lineRule="auto"/>
      <w:jc w:val="center"/>
    </w:pPr>
    <w:rPr>
      <w:rFonts w:eastAsia="Times New Roman" w:cs="Times New Roman"/>
      <w:b/>
      <w:bCs/>
      <w:i/>
      <w:iCs/>
      <w:szCs w:val="22"/>
      <w:lang w:val="de-AT" w:eastAsia="de-AT"/>
    </w:rPr>
  </w:style>
  <w:style w:type="paragraph" w:customStyle="1" w:styleId="Xl347">
    <w:name w:val="Xl347"/>
    <w:basedOn w:val="Normal"/>
    <w:uiPriority w:val="99"/>
    <w:pPr>
      <w:shd w:val="clear" w:color="auto" w:fill="D9D9D9"/>
      <w:spacing w:before="100" w:after="100" w:line="240" w:lineRule="auto"/>
      <w:jc w:val="center"/>
    </w:pPr>
    <w:rPr>
      <w:rFonts w:eastAsia="Times New Roman" w:cs="Times New Roman"/>
      <w:b/>
      <w:bCs/>
      <w:i/>
      <w:iCs/>
      <w:szCs w:val="22"/>
      <w:lang w:val="de-AT" w:eastAsia="de-AT"/>
    </w:rPr>
  </w:style>
  <w:style w:type="paragraph" w:customStyle="1" w:styleId="Xl348">
    <w:name w:val="Xl348"/>
    <w:basedOn w:val="Normal"/>
    <w:uiPriority w:val="99"/>
    <w:pPr>
      <w:shd w:val="clear" w:color="auto" w:fill="D9D9D9"/>
      <w:spacing w:before="100" w:after="100" w:line="240" w:lineRule="auto"/>
      <w:jc w:val="center"/>
    </w:pPr>
    <w:rPr>
      <w:rFonts w:eastAsia="Times New Roman" w:cs="Times New Roman"/>
      <w:b/>
      <w:bCs/>
      <w:i/>
      <w:iCs/>
      <w:szCs w:val="22"/>
      <w:lang w:val="de-AT" w:eastAsia="de-AT"/>
    </w:rPr>
  </w:style>
  <w:style w:type="paragraph" w:customStyle="1" w:styleId="Xl349">
    <w:name w:val="Xl349"/>
    <w:basedOn w:val="Normal"/>
    <w:uiPriority w:val="99"/>
    <w:pPr>
      <w:shd w:val="clear" w:color="auto" w:fill="D9D9D9"/>
      <w:spacing w:before="100" w:after="100" w:line="240" w:lineRule="auto"/>
    </w:pPr>
    <w:rPr>
      <w:rFonts w:eastAsia="Times New Roman" w:cs="Times New Roman"/>
      <w:b/>
      <w:bCs/>
      <w:i/>
      <w:iCs/>
      <w:szCs w:val="22"/>
      <w:lang w:val="de-AT" w:eastAsia="de-AT"/>
    </w:rPr>
  </w:style>
  <w:style w:type="paragraph" w:customStyle="1" w:styleId="Xl350">
    <w:name w:val="Xl350"/>
    <w:basedOn w:val="Normal"/>
    <w:uiPriority w:val="99"/>
    <w:pPr>
      <w:shd w:val="clear" w:color="auto" w:fill="D9D9D9"/>
      <w:spacing w:before="100" w:after="100" w:line="240" w:lineRule="auto"/>
    </w:pPr>
    <w:rPr>
      <w:rFonts w:eastAsia="Times New Roman" w:cs="Times New Roman"/>
      <w:b/>
      <w:bCs/>
      <w:i/>
      <w:iCs/>
      <w:szCs w:val="22"/>
      <w:lang w:val="de-AT" w:eastAsia="de-AT"/>
    </w:rPr>
  </w:style>
  <w:style w:type="paragraph" w:customStyle="1" w:styleId="Xl351">
    <w:name w:val="Xl351"/>
    <w:basedOn w:val="Normal"/>
    <w:uiPriority w:val="99"/>
    <w:pPr>
      <w:shd w:val="clear" w:color="auto" w:fill="FFFFFF"/>
      <w:spacing w:before="100" w:after="100" w:line="240" w:lineRule="auto"/>
    </w:pPr>
    <w:rPr>
      <w:rFonts w:eastAsia="Times New Roman" w:cs="Times New Roman"/>
      <w:b/>
      <w:bCs/>
      <w:i/>
      <w:iCs/>
      <w:szCs w:val="22"/>
      <w:lang w:val="de-AT" w:eastAsia="de-AT"/>
    </w:rPr>
  </w:style>
  <w:style w:type="paragraph" w:customStyle="1" w:styleId="Xl352">
    <w:name w:val="Xl352"/>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eastAsia="Times New Roman" w:cs="Times New Roman"/>
      <w:szCs w:val="22"/>
      <w:lang w:val="de-AT" w:eastAsia="de-AT"/>
    </w:rPr>
  </w:style>
  <w:style w:type="paragraph" w:customStyle="1" w:styleId="Xl353">
    <w:name w:val="Xl353"/>
    <w:basedOn w:val="Normal"/>
    <w:uiPriority w:val="99"/>
    <w:pPr>
      <w:pBdr>
        <w:top w:val="double" w:sz="6" w:space="0" w:color="000000"/>
        <w:left w:val="double" w:sz="6" w:space="0" w:color="000000"/>
        <w:bottom w:val="double" w:sz="6" w:space="0" w:color="000000"/>
        <w:right w:val="double" w:sz="6" w:space="0" w:color="000000"/>
      </w:pBdr>
      <w:shd w:val="clear" w:color="auto" w:fill="D9D9D9"/>
      <w:spacing w:before="100" w:after="100" w:line="240" w:lineRule="auto"/>
    </w:pPr>
    <w:rPr>
      <w:rFonts w:eastAsia="Times New Roman" w:cs="Times New Roman"/>
      <w:b/>
      <w:bCs/>
      <w:szCs w:val="22"/>
      <w:lang w:val="de-AT" w:eastAsia="de-AT"/>
    </w:rPr>
  </w:style>
  <w:style w:type="paragraph" w:customStyle="1" w:styleId="Xl354">
    <w:name w:val="Xl354"/>
    <w:basedOn w:val="Normal"/>
    <w:uiPriority w:val="99"/>
    <w:pPr>
      <w:pBdr>
        <w:top w:val="double" w:sz="6" w:space="0" w:color="000000"/>
        <w:left w:val="double" w:sz="6" w:space="0" w:color="000000"/>
        <w:bottom w:val="double" w:sz="6" w:space="0" w:color="000000"/>
        <w:right w:val="double" w:sz="6" w:space="0" w:color="000000"/>
      </w:pBdr>
      <w:shd w:val="clear" w:color="auto" w:fill="D9D9D9"/>
      <w:spacing w:before="100" w:after="100" w:line="240" w:lineRule="auto"/>
    </w:pPr>
    <w:rPr>
      <w:rFonts w:eastAsia="Times New Roman" w:cs="Times New Roman"/>
      <w:b/>
      <w:bCs/>
      <w:szCs w:val="22"/>
      <w:lang w:val="de-AT" w:eastAsia="de-AT"/>
    </w:rPr>
  </w:style>
  <w:style w:type="paragraph" w:customStyle="1" w:styleId="Xl355">
    <w:name w:val="Xl355"/>
    <w:basedOn w:val="Normal"/>
    <w:uiPriority w:val="99"/>
    <w:pPr>
      <w:pBdr>
        <w:top w:val="double" w:sz="6" w:space="0" w:color="000000"/>
        <w:left w:val="double" w:sz="6" w:space="0" w:color="000000"/>
        <w:bottom w:val="double" w:sz="6" w:space="0" w:color="000000"/>
        <w:right w:val="double" w:sz="6" w:space="0" w:color="000000"/>
      </w:pBdr>
      <w:shd w:val="clear" w:color="auto" w:fill="D9D9D9"/>
      <w:spacing w:before="100" w:after="100" w:line="240" w:lineRule="auto"/>
      <w:jc w:val="center"/>
    </w:pPr>
    <w:rPr>
      <w:rFonts w:eastAsia="Times New Roman" w:cs="Times New Roman"/>
      <w:b/>
      <w:bCs/>
      <w:szCs w:val="22"/>
      <w:lang w:val="de-AT" w:eastAsia="de-AT"/>
    </w:rPr>
  </w:style>
  <w:style w:type="paragraph" w:customStyle="1" w:styleId="Xl356">
    <w:name w:val="Xl356"/>
    <w:basedOn w:val="Normal"/>
    <w:uiPriority w:val="99"/>
    <w:pPr>
      <w:pBdr>
        <w:top w:val="double" w:sz="6" w:space="0" w:color="000000"/>
        <w:left w:val="double" w:sz="6" w:space="0" w:color="000000"/>
        <w:bottom w:val="double" w:sz="6" w:space="0" w:color="000000"/>
        <w:right w:val="double" w:sz="6" w:space="0" w:color="000000"/>
      </w:pBdr>
      <w:shd w:val="clear" w:color="auto" w:fill="D9D9D9"/>
      <w:spacing w:before="100" w:after="100" w:line="240" w:lineRule="auto"/>
      <w:jc w:val="center"/>
    </w:pPr>
    <w:rPr>
      <w:rFonts w:eastAsia="Times New Roman" w:cs="Times New Roman"/>
      <w:b/>
      <w:bCs/>
      <w:szCs w:val="22"/>
      <w:lang w:val="de-AT" w:eastAsia="de-AT"/>
    </w:rPr>
  </w:style>
  <w:style w:type="paragraph" w:customStyle="1" w:styleId="Xl357">
    <w:name w:val="Xl357"/>
    <w:basedOn w:val="Normal"/>
    <w:uiPriority w:val="99"/>
    <w:pPr>
      <w:pBdr>
        <w:top w:val="double" w:sz="6" w:space="0" w:color="000000"/>
        <w:left w:val="double" w:sz="6" w:space="0" w:color="000000"/>
        <w:bottom w:val="double" w:sz="6" w:space="0" w:color="000000"/>
        <w:right w:val="double" w:sz="6" w:space="0" w:color="000000"/>
      </w:pBdr>
      <w:shd w:val="clear" w:color="auto" w:fill="D9D9D9"/>
      <w:spacing w:before="100" w:after="100" w:line="240" w:lineRule="auto"/>
      <w:jc w:val="center"/>
    </w:pPr>
    <w:rPr>
      <w:rFonts w:eastAsia="Times New Roman" w:cs="Times New Roman"/>
      <w:b/>
      <w:bCs/>
      <w:szCs w:val="22"/>
      <w:lang w:val="de-AT" w:eastAsia="de-AT"/>
    </w:rPr>
  </w:style>
  <w:style w:type="paragraph" w:customStyle="1" w:styleId="Xl358">
    <w:name w:val="Xl358"/>
    <w:basedOn w:val="Normal"/>
    <w:uiPriority w:val="99"/>
    <w:pPr>
      <w:pBdr>
        <w:top w:val="double" w:sz="6" w:space="0" w:color="000000"/>
        <w:left w:val="double" w:sz="6" w:space="0" w:color="000000"/>
        <w:bottom w:val="double" w:sz="6" w:space="0" w:color="000000"/>
        <w:right w:val="double" w:sz="6" w:space="0" w:color="000000"/>
      </w:pBdr>
      <w:shd w:val="clear" w:color="auto" w:fill="D9D9D9"/>
      <w:spacing w:before="100" w:after="100" w:line="240" w:lineRule="auto"/>
    </w:pPr>
    <w:rPr>
      <w:rFonts w:eastAsia="Times New Roman" w:cs="Times New Roman"/>
      <w:b/>
      <w:bCs/>
      <w:szCs w:val="22"/>
      <w:lang w:val="de-AT" w:eastAsia="de-AT"/>
    </w:rPr>
  </w:style>
  <w:style w:type="paragraph" w:customStyle="1" w:styleId="Xl359">
    <w:name w:val="Xl359"/>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360">
    <w:name w:val="Xl360"/>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361">
    <w:name w:val="Xl361"/>
    <w:basedOn w:val="Normal"/>
    <w:uiPriority w:val="99"/>
    <w:pPr>
      <w:shd w:val="clear" w:color="auto" w:fill="BFBFBF"/>
      <w:spacing w:before="100" w:after="100" w:line="240" w:lineRule="auto"/>
    </w:pPr>
    <w:rPr>
      <w:rFonts w:eastAsia="Times New Roman" w:cs="Times New Roman"/>
      <w:b/>
      <w:bCs/>
      <w:i/>
      <w:iCs/>
      <w:szCs w:val="22"/>
      <w:lang w:val="de-AT" w:eastAsia="de-AT"/>
    </w:rPr>
  </w:style>
  <w:style w:type="paragraph" w:customStyle="1" w:styleId="Xl362">
    <w:name w:val="Xl362"/>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eastAsia="Times New Roman" w:cs="Times New Roman"/>
      <w:szCs w:val="22"/>
      <w:lang w:val="de-AT" w:eastAsia="de-AT"/>
    </w:rPr>
  </w:style>
  <w:style w:type="paragraph" w:customStyle="1" w:styleId="Xl363">
    <w:name w:val="Xl363"/>
    <w:basedOn w:val="Normal"/>
    <w:uiPriority w:val="99"/>
    <w:pPr>
      <w:shd w:val="clear" w:color="auto" w:fill="BFBFBF"/>
      <w:spacing w:before="100" w:after="100" w:line="240" w:lineRule="auto"/>
    </w:pPr>
    <w:rPr>
      <w:rFonts w:eastAsia="Times New Roman" w:cs="Times New Roman"/>
      <w:b/>
      <w:bCs/>
      <w:szCs w:val="22"/>
      <w:lang w:val="de-AT" w:eastAsia="de-AT"/>
    </w:rPr>
  </w:style>
  <w:style w:type="paragraph" w:customStyle="1" w:styleId="Xl364">
    <w:name w:val="Xl364"/>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eastAsia="Times New Roman" w:cs="Times New Roman"/>
      <w:szCs w:val="22"/>
      <w:lang w:val="de-AT" w:eastAsia="de-AT"/>
    </w:rPr>
  </w:style>
  <w:style w:type="paragraph" w:customStyle="1" w:styleId="Xl365">
    <w:name w:val="Xl365"/>
    <w:basedOn w:val="Normal"/>
    <w:uiPriority w:val="99"/>
    <w:pPr>
      <w:shd w:val="clear" w:color="auto" w:fill="FFFFFF"/>
      <w:spacing w:before="100" w:after="100" w:line="240" w:lineRule="auto"/>
    </w:pPr>
    <w:rPr>
      <w:rFonts w:eastAsia="Times New Roman" w:cs="Times New Roman"/>
      <w:i/>
      <w:iCs/>
      <w:szCs w:val="22"/>
      <w:lang w:val="de-AT" w:eastAsia="de-AT"/>
    </w:rPr>
  </w:style>
  <w:style w:type="paragraph" w:customStyle="1" w:styleId="Xl366">
    <w:name w:val="Xl366"/>
    <w:basedOn w:val="Normal"/>
    <w:uiPriority w:val="99"/>
    <w:pPr>
      <w:shd w:val="clear" w:color="auto" w:fill="FFFFFF"/>
      <w:spacing w:before="100" w:after="100" w:line="240" w:lineRule="auto"/>
      <w:jc w:val="center"/>
    </w:pPr>
    <w:rPr>
      <w:rFonts w:eastAsia="Times New Roman" w:cs="Times New Roman"/>
      <w:i/>
      <w:iCs/>
      <w:szCs w:val="22"/>
      <w:lang w:val="de-AT" w:eastAsia="de-AT"/>
    </w:rPr>
  </w:style>
  <w:style w:type="paragraph" w:customStyle="1" w:styleId="Xl367">
    <w:name w:val="Xl367"/>
    <w:basedOn w:val="Normal"/>
    <w:uiPriority w:val="99"/>
    <w:pPr>
      <w:shd w:val="clear" w:color="auto" w:fill="FFFFFF"/>
      <w:spacing w:before="100" w:after="100" w:line="240" w:lineRule="auto"/>
      <w:jc w:val="center"/>
    </w:pPr>
    <w:rPr>
      <w:rFonts w:eastAsia="Times New Roman" w:cs="Times New Roman"/>
      <w:i/>
      <w:iCs/>
      <w:szCs w:val="22"/>
      <w:lang w:val="de-AT" w:eastAsia="de-AT"/>
    </w:rPr>
  </w:style>
  <w:style w:type="paragraph" w:customStyle="1" w:styleId="Xl368">
    <w:name w:val="Xl368"/>
    <w:basedOn w:val="Normal"/>
    <w:uiPriority w:val="99"/>
    <w:pPr>
      <w:shd w:val="clear" w:color="auto" w:fill="FFFFFF"/>
      <w:spacing w:before="100" w:after="100" w:line="240" w:lineRule="auto"/>
      <w:jc w:val="center"/>
    </w:pPr>
    <w:rPr>
      <w:rFonts w:eastAsia="Times New Roman" w:cs="Times New Roman"/>
      <w:i/>
      <w:iCs/>
      <w:szCs w:val="22"/>
      <w:lang w:val="de-AT" w:eastAsia="de-AT"/>
    </w:rPr>
  </w:style>
  <w:style w:type="paragraph" w:customStyle="1" w:styleId="Xl369">
    <w:name w:val="Xl369"/>
    <w:basedOn w:val="Normal"/>
    <w:uiPriority w:val="99"/>
    <w:pPr>
      <w:shd w:val="clear" w:color="auto" w:fill="FFFFFF"/>
      <w:spacing w:before="100" w:after="100" w:line="240" w:lineRule="auto"/>
      <w:jc w:val="center"/>
    </w:pPr>
    <w:rPr>
      <w:rFonts w:eastAsia="Times New Roman" w:cs="Times New Roman"/>
      <w:i/>
      <w:iCs/>
      <w:szCs w:val="22"/>
      <w:lang w:val="de-AT" w:eastAsia="de-AT"/>
    </w:rPr>
  </w:style>
  <w:style w:type="paragraph" w:customStyle="1" w:styleId="Xl370">
    <w:name w:val="Xl370"/>
    <w:basedOn w:val="Normal"/>
    <w:uiPriority w:val="99"/>
    <w:pPr>
      <w:shd w:val="clear" w:color="auto" w:fill="FFFFFF"/>
      <w:spacing w:before="100" w:after="100" w:line="240" w:lineRule="auto"/>
    </w:pPr>
    <w:rPr>
      <w:rFonts w:eastAsia="Times New Roman" w:cs="Times New Roman"/>
      <w:i/>
      <w:iCs/>
      <w:szCs w:val="22"/>
      <w:lang w:val="de-AT" w:eastAsia="de-AT"/>
    </w:rPr>
  </w:style>
  <w:style w:type="paragraph" w:customStyle="1" w:styleId="Xl371">
    <w:name w:val="Xl371"/>
    <w:basedOn w:val="Normal"/>
    <w:uiPriority w:val="99"/>
    <w:pPr>
      <w:spacing w:before="100" w:after="100" w:line="240" w:lineRule="auto"/>
    </w:pPr>
    <w:rPr>
      <w:rFonts w:eastAsia="Times New Roman" w:cs="Times New Roman"/>
      <w:szCs w:val="22"/>
      <w:lang w:val="de-AT" w:eastAsia="de-AT"/>
    </w:rPr>
  </w:style>
  <w:style w:type="paragraph" w:customStyle="1" w:styleId="Xl372">
    <w:name w:val="Xl372"/>
    <w:basedOn w:val="Normal"/>
    <w:uiPriority w:val="99"/>
    <w:pPr>
      <w:spacing w:before="100" w:after="100" w:line="240" w:lineRule="auto"/>
    </w:pPr>
    <w:rPr>
      <w:rFonts w:eastAsia="Times New Roman" w:cs="Times New Roman"/>
      <w:szCs w:val="22"/>
      <w:lang w:val="de-AT" w:eastAsia="de-AT"/>
    </w:rPr>
  </w:style>
  <w:style w:type="paragraph" w:customStyle="1" w:styleId="Xl373">
    <w:name w:val="Xl373"/>
    <w:basedOn w:val="Normal"/>
    <w:uiPriority w:val="99"/>
    <w:pPr>
      <w:spacing w:before="100" w:after="100" w:line="240" w:lineRule="auto"/>
      <w:jc w:val="center"/>
    </w:pPr>
    <w:rPr>
      <w:rFonts w:eastAsia="Times New Roman" w:cs="Times New Roman"/>
      <w:szCs w:val="22"/>
      <w:lang w:val="de-AT" w:eastAsia="de-AT"/>
    </w:rPr>
  </w:style>
  <w:style w:type="paragraph" w:customStyle="1" w:styleId="Xl374">
    <w:name w:val="Xl374"/>
    <w:basedOn w:val="Normal"/>
    <w:uiPriority w:val="99"/>
    <w:pPr>
      <w:spacing w:before="100" w:after="100" w:line="240" w:lineRule="auto"/>
      <w:jc w:val="center"/>
    </w:pPr>
    <w:rPr>
      <w:rFonts w:eastAsia="Times New Roman" w:cs="Times New Roman"/>
      <w:szCs w:val="22"/>
      <w:lang w:val="de-AT" w:eastAsia="de-AT"/>
    </w:rPr>
  </w:style>
  <w:style w:type="paragraph" w:customStyle="1" w:styleId="Xl375">
    <w:name w:val="Xl375"/>
    <w:basedOn w:val="Normal"/>
    <w:uiPriority w:val="99"/>
    <w:pPr>
      <w:spacing w:before="100" w:after="100" w:line="240" w:lineRule="auto"/>
      <w:jc w:val="center"/>
    </w:pPr>
    <w:rPr>
      <w:rFonts w:eastAsia="Times New Roman" w:cs="Times New Roman"/>
      <w:szCs w:val="22"/>
      <w:lang w:val="de-AT" w:eastAsia="de-AT"/>
    </w:rPr>
  </w:style>
  <w:style w:type="paragraph" w:customStyle="1" w:styleId="Xl376">
    <w:name w:val="Xl376"/>
    <w:basedOn w:val="Normal"/>
    <w:uiPriority w:val="99"/>
    <w:pPr>
      <w:spacing w:before="100" w:after="100" w:line="240" w:lineRule="auto"/>
      <w:jc w:val="center"/>
    </w:pPr>
    <w:rPr>
      <w:rFonts w:eastAsia="Times New Roman" w:cs="Times New Roman"/>
      <w:szCs w:val="22"/>
      <w:lang w:val="de-AT" w:eastAsia="de-AT"/>
    </w:rPr>
  </w:style>
  <w:style w:type="paragraph" w:customStyle="1" w:styleId="Xl377">
    <w:name w:val="Xl377"/>
    <w:basedOn w:val="Normal"/>
    <w:uiPriority w:val="99"/>
    <w:pPr>
      <w:spacing w:before="100" w:after="100" w:line="240" w:lineRule="auto"/>
    </w:pPr>
    <w:rPr>
      <w:rFonts w:eastAsia="Times New Roman" w:cs="Times New Roman"/>
      <w:szCs w:val="22"/>
      <w:lang w:val="de-AT" w:eastAsia="de-AT"/>
    </w:rPr>
  </w:style>
  <w:style w:type="paragraph" w:customStyle="1" w:styleId="Xl378">
    <w:name w:val="Xl378"/>
    <w:basedOn w:val="Normal"/>
    <w:uiPriority w:val="99"/>
    <w:pPr>
      <w:spacing w:before="100" w:after="100" w:line="240" w:lineRule="auto"/>
    </w:pPr>
    <w:rPr>
      <w:rFonts w:eastAsia="Times New Roman" w:cs="Times New Roman"/>
      <w:szCs w:val="22"/>
      <w:lang w:val="de-AT" w:eastAsia="de-AT"/>
    </w:rPr>
  </w:style>
  <w:style w:type="paragraph" w:customStyle="1" w:styleId="Xl379">
    <w:name w:val="Xl379"/>
    <w:basedOn w:val="Normal"/>
    <w:uiPriority w:val="99"/>
    <w:pPr>
      <w:spacing w:before="100" w:after="100" w:line="240" w:lineRule="auto"/>
    </w:pPr>
    <w:rPr>
      <w:rFonts w:eastAsia="Times New Roman" w:cs="Times New Roman"/>
      <w:i/>
      <w:iCs/>
      <w:szCs w:val="22"/>
      <w:lang w:val="de-AT" w:eastAsia="de-AT"/>
    </w:rPr>
  </w:style>
  <w:style w:type="paragraph" w:customStyle="1" w:styleId="Xl380">
    <w:name w:val="Xl380"/>
    <w:basedOn w:val="Normal"/>
    <w:uiPriority w:val="99"/>
    <w:pPr>
      <w:spacing w:before="100" w:after="100" w:line="240" w:lineRule="auto"/>
    </w:pPr>
    <w:rPr>
      <w:rFonts w:eastAsia="Times New Roman" w:cs="Times New Roman"/>
      <w:i/>
      <w:iCs/>
      <w:szCs w:val="22"/>
      <w:lang w:val="de-AT" w:eastAsia="de-AT"/>
    </w:rPr>
  </w:style>
  <w:style w:type="paragraph" w:customStyle="1" w:styleId="Xl381">
    <w:name w:val="Xl381"/>
    <w:basedOn w:val="Normal"/>
    <w:uiPriority w:val="99"/>
    <w:pPr>
      <w:spacing w:before="100" w:after="100" w:line="240" w:lineRule="auto"/>
      <w:jc w:val="center"/>
    </w:pPr>
    <w:rPr>
      <w:rFonts w:eastAsia="Times New Roman" w:cs="Times New Roman"/>
      <w:i/>
      <w:iCs/>
      <w:szCs w:val="22"/>
      <w:lang w:val="de-AT" w:eastAsia="de-AT"/>
    </w:rPr>
  </w:style>
  <w:style w:type="paragraph" w:customStyle="1" w:styleId="Xl382">
    <w:name w:val="Xl382"/>
    <w:basedOn w:val="Normal"/>
    <w:uiPriority w:val="99"/>
    <w:pPr>
      <w:spacing w:before="100" w:after="100" w:line="240" w:lineRule="auto"/>
      <w:jc w:val="center"/>
    </w:pPr>
    <w:rPr>
      <w:rFonts w:eastAsia="Times New Roman" w:cs="Times New Roman"/>
      <w:i/>
      <w:iCs/>
      <w:szCs w:val="22"/>
      <w:lang w:val="de-AT" w:eastAsia="de-AT"/>
    </w:rPr>
  </w:style>
  <w:style w:type="paragraph" w:customStyle="1" w:styleId="Xl383">
    <w:name w:val="Xl383"/>
    <w:basedOn w:val="Normal"/>
    <w:uiPriority w:val="99"/>
    <w:pPr>
      <w:spacing w:before="100" w:after="100" w:line="240" w:lineRule="auto"/>
      <w:jc w:val="center"/>
    </w:pPr>
    <w:rPr>
      <w:rFonts w:eastAsia="Times New Roman" w:cs="Times New Roman"/>
      <w:i/>
      <w:iCs/>
      <w:szCs w:val="22"/>
      <w:lang w:val="de-AT" w:eastAsia="de-AT"/>
    </w:rPr>
  </w:style>
  <w:style w:type="paragraph" w:customStyle="1" w:styleId="Xl384">
    <w:name w:val="Xl384"/>
    <w:basedOn w:val="Normal"/>
    <w:uiPriority w:val="99"/>
    <w:pPr>
      <w:spacing w:before="100" w:after="100" w:line="240" w:lineRule="auto"/>
      <w:jc w:val="center"/>
    </w:pPr>
    <w:rPr>
      <w:rFonts w:eastAsia="Times New Roman" w:cs="Times New Roman"/>
      <w:i/>
      <w:iCs/>
      <w:szCs w:val="22"/>
      <w:lang w:val="de-AT" w:eastAsia="de-AT"/>
    </w:rPr>
  </w:style>
  <w:style w:type="paragraph" w:customStyle="1" w:styleId="Xl385">
    <w:name w:val="Xl385"/>
    <w:basedOn w:val="Normal"/>
    <w:uiPriority w:val="99"/>
    <w:pPr>
      <w:spacing w:before="100" w:after="100" w:line="240" w:lineRule="auto"/>
      <w:jc w:val="center"/>
    </w:pPr>
    <w:rPr>
      <w:rFonts w:eastAsia="Times New Roman" w:cs="Times New Roman"/>
      <w:i/>
      <w:iCs/>
      <w:szCs w:val="22"/>
      <w:lang w:val="de-AT" w:eastAsia="de-AT"/>
    </w:rPr>
  </w:style>
  <w:style w:type="paragraph" w:customStyle="1" w:styleId="Xl386">
    <w:name w:val="Xl386"/>
    <w:basedOn w:val="Normal"/>
    <w:uiPriority w:val="99"/>
    <w:pPr>
      <w:spacing w:before="100" w:after="100" w:line="240" w:lineRule="auto"/>
    </w:pPr>
    <w:rPr>
      <w:rFonts w:eastAsia="Times New Roman" w:cs="Times New Roman"/>
      <w:i/>
      <w:iCs/>
      <w:szCs w:val="22"/>
      <w:lang w:val="de-AT" w:eastAsia="de-AT"/>
    </w:rPr>
  </w:style>
  <w:style w:type="paragraph" w:customStyle="1" w:styleId="Xl387">
    <w:name w:val="Xl387"/>
    <w:basedOn w:val="Normal"/>
    <w:uiPriority w:val="99"/>
    <w:pPr>
      <w:spacing w:before="100" w:after="100" w:line="240" w:lineRule="auto"/>
    </w:pPr>
    <w:rPr>
      <w:rFonts w:eastAsia="Times New Roman" w:cs="Times New Roman"/>
      <w:i/>
      <w:iCs/>
      <w:szCs w:val="22"/>
      <w:lang w:val="de-AT" w:eastAsia="de-AT"/>
    </w:rPr>
  </w:style>
  <w:style w:type="paragraph" w:customStyle="1" w:styleId="Xl388">
    <w:name w:val="Xl388"/>
    <w:basedOn w:val="Normal"/>
    <w:uiPriority w:val="99"/>
    <w:pPr>
      <w:spacing w:before="100" w:after="100" w:line="240" w:lineRule="auto"/>
    </w:pPr>
    <w:rPr>
      <w:rFonts w:eastAsia="Times New Roman" w:cs="Times New Roman"/>
      <w:i/>
      <w:iCs/>
      <w:szCs w:val="22"/>
      <w:lang w:val="de-AT" w:eastAsia="de-AT"/>
    </w:rPr>
  </w:style>
  <w:style w:type="paragraph" w:customStyle="1" w:styleId="Xl389">
    <w:name w:val="Xl389"/>
    <w:basedOn w:val="Normal"/>
    <w:uiPriority w:val="99"/>
    <w:pPr>
      <w:spacing w:before="100" w:after="100" w:line="240" w:lineRule="auto"/>
    </w:pPr>
    <w:rPr>
      <w:rFonts w:eastAsia="Times New Roman" w:cs="Times New Roman"/>
      <w:i/>
      <w:iCs/>
      <w:szCs w:val="22"/>
      <w:lang w:val="de-AT" w:eastAsia="de-AT"/>
    </w:rPr>
  </w:style>
  <w:style w:type="paragraph" w:customStyle="1" w:styleId="Xl390">
    <w:name w:val="Xl390"/>
    <w:basedOn w:val="Normal"/>
    <w:uiPriority w:val="99"/>
    <w:pPr>
      <w:shd w:val="clear" w:color="auto" w:fill="FFFFFF"/>
      <w:spacing w:before="100" w:after="100" w:line="240" w:lineRule="auto"/>
      <w:jc w:val="center"/>
    </w:pPr>
    <w:rPr>
      <w:rFonts w:eastAsia="Times New Roman" w:cs="Times New Roman"/>
      <w:color w:val="FF0000"/>
      <w:szCs w:val="22"/>
      <w:lang w:val="de-AT" w:eastAsia="de-AT"/>
    </w:rPr>
  </w:style>
  <w:style w:type="paragraph" w:customStyle="1" w:styleId="Xl391">
    <w:name w:val="Xl391"/>
    <w:basedOn w:val="Normal"/>
    <w:uiPriority w:val="99"/>
    <w:pPr>
      <w:shd w:val="clear" w:color="auto" w:fill="FFFFFF"/>
      <w:spacing w:before="100" w:after="100" w:line="240" w:lineRule="auto"/>
      <w:jc w:val="center"/>
    </w:pPr>
    <w:rPr>
      <w:rFonts w:eastAsia="Times New Roman" w:cs="Times New Roman"/>
      <w:color w:val="FF0000"/>
      <w:szCs w:val="22"/>
      <w:lang w:val="de-AT" w:eastAsia="de-AT"/>
    </w:rPr>
  </w:style>
  <w:style w:type="paragraph" w:customStyle="1" w:styleId="Xl392">
    <w:name w:val="Xl392"/>
    <w:basedOn w:val="Normal"/>
    <w:uiPriority w:val="99"/>
    <w:pPr>
      <w:pBdr>
        <w:top w:val="double" w:sz="6" w:space="0" w:color="000000"/>
        <w:left w:val="double" w:sz="6" w:space="0" w:color="000000"/>
        <w:bottom w:val="double" w:sz="6" w:space="0" w:color="000000"/>
        <w:right w:val="double" w:sz="6" w:space="0" w:color="000000"/>
      </w:pBdr>
      <w:shd w:val="clear" w:color="auto" w:fill="BFBFBF"/>
      <w:spacing w:before="100" w:after="100" w:line="240" w:lineRule="auto"/>
      <w:jc w:val="center"/>
    </w:pPr>
    <w:rPr>
      <w:rFonts w:eastAsia="Times New Roman" w:cs="Times New Roman"/>
      <w:b/>
      <w:bCs/>
      <w:szCs w:val="22"/>
      <w:lang w:val="de-AT" w:eastAsia="de-AT"/>
    </w:rPr>
  </w:style>
  <w:style w:type="paragraph" w:customStyle="1" w:styleId="Xl393">
    <w:name w:val="Xl393"/>
    <w:basedOn w:val="Normal"/>
    <w:uiPriority w:val="99"/>
    <w:pPr>
      <w:shd w:val="clear" w:color="auto" w:fill="F2F2F2"/>
      <w:spacing w:before="100" w:after="100" w:line="240" w:lineRule="auto"/>
      <w:jc w:val="center"/>
    </w:pPr>
    <w:rPr>
      <w:rFonts w:eastAsia="Times New Roman" w:cs="Times New Roman"/>
      <w:i/>
      <w:iCs/>
      <w:szCs w:val="22"/>
      <w:lang w:val="de-AT" w:eastAsia="de-AT"/>
    </w:rPr>
  </w:style>
  <w:style w:type="paragraph" w:customStyle="1" w:styleId="Xl394">
    <w:name w:val="Xl394"/>
    <w:basedOn w:val="Normal"/>
    <w:uiPriority w:val="99"/>
    <w:pPr>
      <w:shd w:val="clear" w:color="auto" w:fill="F2F2F2"/>
      <w:spacing w:before="100" w:after="100" w:line="240" w:lineRule="auto"/>
    </w:pPr>
    <w:rPr>
      <w:rFonts w:eastAsia="Times New Roman" w:cs="Times New Roman"/>
      <w:i/>
      <w:iCs/>
      <w:szCs w:val="22"/>
      <w:lang w:val="de-AT" w:eastAsia="de-AT"/>
    </w:rPr>
  </w:style>
  <w:style w:type="paragraph" w:customStyle="1" w:styleId="Xl395">
    <w:name w:val="Xl395"/>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eastAsia="Times New Roman" w:cs="Times New Roman"/>
      <w:szCs w:val="22"/>
      <w:lang w:val="de-AT" w:eastAsia="de-AT"/>
    </w:rPr>
  </w:style>
  <w:style w:type="paragraph" w:customStyle="1" w:styleId="Xl396">
    <w:name w:val="Xl396"/>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eastAsia="Times New Roman" w:cs="Times New Roman"/>
      <w:szCs w:val="22"/>
      <w:lang w:val="de-AT" w:eastAsia="de-AT"/>
    </w:rPr>
  </w:style>
  <w:style w:type="paragraph" w:customStyle="1" w:styleId="Xl397">
    <w:name w:val="Xl397"/>
    <w:basedOn w:val="Normal"/>
    <w:uiPriority w:val="99"/>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eastAsia="Times New Roman" w:cs="Times New Roman"/>
      <w:szCs w:val="22"/>
      <w:lang w:val="de-AT" w:eastAsia="de-AT"/>
    </w:rPr>
  </w:style>
  <w:style w:type="paragraph" w:customStyle="1" w:styleId="Xl398">
    <w:name w:val="Xl398"/>
    <w:basedOn w:val="Normal"/>
    <w:uiPriority w:val="99"/>
    <w:pPr>
      <w:shd w:val="clear" w:color="auto" w:fill="FFFFFF"/>
      <w:spacing w:before="100" w:after="100" w:line="240" w:lineRule="auto"/>
    </w:pPr>
    <w:rPr>
      <w:rFonts w:eastAsia="Times New Roman" w:cs="Times New Roman"/>
      <w:szCs w:val="22"/>
      <w:lang w:val="de-AT" w:eastAsia="de-AT"/>
    </w:rPr>
  </w:style>
  <w:style w:type="paragraph" w:customStyle="1" w:styleId="Xl399">
    <w:name w:val="Xl399"/>
    <w:basedOn w:val="Normal"/>
    <w:uiPriority w:val="99"/>
    <w:pPr>
      <w:pBdr>
        <w:top w:val="single" w:sz="4" w:space="0" w:color="000000"/>
        <w:left w:val="single" w:sz="4" w:space="0" w:color="000000"/>
        <w:bottom w:val="single" w:sz="4" w:space="0" w:color="000000"/>
        <w:right w:val="single" w:sz="4" w:space="0" w:color="000000"/>
      </w:pBdr>
      <w:spacing w:before="100" w:after="100" w:line="240" w:lineRule="auto"/>
    </w:pPr>
    <w:rPr>
      <w:rFonts w:eastAsia="Times New Roman" w:cs="Times New Roman"/>
      <w:szCs w:val="22"/>
      <w:lang w:val="de-AT" w:eastAsia="de-AT"/>
    </w:rPr>
  </w:style>
  <w:style w:type="paragraph" w:customStyle="1" w:styleId="Xl400">
    <w:name w:val="Xl400"/>
    <w:basedOn w:val="Normal"/>
    <w:uiPriority w:val="99"/>
    <w:pPr>
      <w:pBdr>
        <w:top w:val="single" w:sz="4" w:space="0" w:color="000000"/>
        <w:left w:val="single" w:sz="4" w:space="0" w:color="000000"/>
        <w:bottom w:val="single" w:sz="4" w:space="0" w:color="000000"/>
        <w:right w:val="single" w:sz="4" w:space="0" w:color="000000"/>
      </w:pBdr>
      <w:spacing w:before="100" w:after="100" w:line="240" w:lineRule="auto"/>
    </w:pPr>
    <w:rPr>
      <w:rFonts w:eastAsia="Times New Roman" w:cs="Times New Roman"/>
      <w:szCs w:val="22"/>
      <w:lang w:val="de-AT" w:eastAsia="de-AT"/>
    </w:rPr>
  </w:style>
  <w:style w:type="paragraph" w:customStyle="1" w:styleId="Xl401">
    <w:name w:val="Xl401"/>
    <w:basedOn w:val="Normal"/>
    <w:uiPriority w:val="99"/>
    <w:pPr>
      <w:spacing w:before="100" w:after="100" w:line="240" w:lineRule="auto"/>
    </w:pPr>
    <w:rPr>
      <w:rFonts w:eastAsia="Times New Roman" w:cs="Times New Roman"/>
      <w:szCs w:val="22"/>
      <w:lang w:val="de-AT" w:eastAsia="de-AT"/>
    </w:rPr>
  </w:style>
  <w:style w:type="paragraph" w:customStyle="1" w:styleId="Xl402">
    <w:name w:val="Xl402"/>
    <w:basedOn w:val="Normal"/>
    <w:uiPriority w:val="99"/>
    <w:pPr>
      <w:spacing w:before="100" w:after="100" w:line="240" w:lineRule="auto"/>
    </w:pPr>
    <w:rPr>
      <w:rFonts w:eastAsia="Times New Roman" w:cs="Times New Roman"/>
      <w:szCs w:val="22"/>
      <w:lang w:val="de-AT" w:eastAsia="de-AT"/>
    </w:rPr>
  </w:style>
  <w:style w:type="paragraph" w:customStyle="1" w:styleId="Xl403">
    <w:name w:val="Xl403"/>
    <w:basedOn w:val="Normal"/>
    <w:uiPriority w:val="99"/>
    <w:pPr>
      <w:pBdr>
        <w:top w:val="single" w:sz="4" w:space="0" w:color="000000"/>
        <w:left w:val="single" w:sz="4" w:space="0" w:color="000000"/>
        <w:bottom w:val="single" w:sz="4" w:space="0" w:color="000000"/>
        <w:right w:val="single" w:sz="4" w:space="0" w:color="000000"/>
      </w:pBdr>
      <w:spacing w:before="100" w:after="100" w:line="240" w:lineRule="auto"/>
      <w:jc w:val="center"/>
    </w:pPr>
    <w:rPr>
      <w:rFonts w:eastAsia="Times New Roman" w:cs="Times New Roman"/>
      <w:szCs w:val="22"/>
      <w:lang w:val="de-AT" w:eastAsia="de-AT"/>
    </w:rPr>
  </w:style>
  <w:style w:type="paragraph" w:customStyle="1" w:styleId="Xl404">
    <w:name w:val="Xl404"/>
    <w:basedOn w:val="Normal"/>
    <w:uiPriority w:val="99"/>
    <w:pPr>
      <w:spacing w:before="100" w:after="100" w:line="240" w:lineRule="auto"/>
      <w:jc w:val="center"/>
    </w:pPr>
    <w:rPr>
      <w:rFonts w:eastAsia="Times New Roman" w:cs="Times New Roman"/>
      <w:color w:val="C00000"/>
      <w:szCs w:val="22"/>
      <w:lang w:val="de-AT" w:eastAsia="de-AT"/>
    </w:rPr>
  </w:style>
  <w:style w:type="paragraph" w:customStyle="1" w:styleId="Xl405">
    <w:name w:val="Xl405"/>
    <w:basedOn w:val="Normal"/>
    <w:uiPriority w:val="99"/>
    <w:pPr>
      <w:pBdr>
        <w:top w:val="double" w:sz="6" w:space="0" w:color="000000"/>
        <w:left w:val="double" w:sz="6" w:space="0" w:color="000000"/>
        <w:bottom w:val="double" w:sz="6" w:space="0" w:color="000000"/>
        <w:right w:val="double" w:sz="6" w:space="0" w:color="000000"/>
      </w:pBdr>
      <w:spacing w:before="100" w:after="100" w:line="240" w:lineRule="auto"/>
      <w:jc w:val="center"/>
    </w:pPr>
    <w:rPr>
      <w:rFonts w:eastAsia="Times New Roman" w:cs="Times New Roman"/>
      <w:b/>
      <w:bCs/>
      <w:szCs w:val="22"/>
      <w:lang w:val="de-AT" w:eastAsia="de-AT"/>
    </w:rPr>
  </w:style>
  <w:style w:type="paragraph" w:customStyle="1" w:styleId="Xl406">
    <w:name w:val="Xl406"/>
    <w:basedOn w:val="Normal"/>
    <w:uiPriority w:val="99"/>
    <w:pPr>
      <w:spacing w:before="100" w:after="100" w:line="240" w:lineRule="auto"/>
      <w:jc w:val="center"/>
    </w:pPr>
    <w:rPr>
      <w:rFonts w:eastAsia="Times New Roman" w:cs="Times New Roman"/>
      <w:b/>
      <w:bCs/>
      <w:szCs w:val="22"/>
      <w:lang w:val="de-AT" w:eastAsia="de-AT"/>
    </w:rPr>
  </w:style>
  <w:style w:type="paragraph" w:customStyle="1" w:styleId="Xl407">
    <w:name w:val="Xl407"/>
    <w:basedOn w:val="Normal"/>
    <w:uiPriority w:val="99"/>
    <w:pPr>
      <w:pBdr>
        <w:top w:val="single" w:sz="4" w:space="0" w:color="000000"/>
        <w:left w:val="single" w:sz="4" w:space="0" w:color="000000"/>
        <w:bottom w:val="single" w:sz="4" w:space="0" w:color="000000"/>
        <w:right w:val="single" w:sz="4" w:space="0" w:color="000000"/>
      </w:pBdr>
      <w:spacing w:before="100" w:after="100" w:line="240" w:lineRule="auto"/>
      <w:jc w:val="center"/>
    </w:pPr>
    <w:rPr>
      <w:rFonts w:eastAsia="Times New Roman" w:cs="Times New Roman"/>
      <w:szCs w:val="22"/>
      <w:lang w:val="de-AT" w:eastAsia="de-AT"/>
    </w:rPr>
  </w:style>
  <w:style w:type="paragraph" w:customStyle="1" w:styleId="Xl408">
    <w:name w:val="Xl408"/>
    <w:basedOn w:val="Normal"/>
    <w:uiPriority w:val="99"/>
    <w:pPr>
      <w:pBdr>
        <w:top w:val="single" w:sz="4" w:space="0" w:color="000000"/>
        <w:left w:val="single" w:sz="4" w:space="0" w:color="000000"/>
        <w:bottom w:val="single" w:sz="4" w:space="0" w:color="000000"/>
        <w:right w:val="single" w:sz="4" w:space="0" w:color="000000"/>
      </w:pBdr>
      <w:spacing w:before="100" w:after="100" w:line="240" w:lineRule="auto"/>
      <w:jc w:val="center"/>
    </w:pPr>
    <w:rPr>
      <w:rFonts w:eastAsia="Times New Roman" w:cs="Times New Roman"/>
      <w:szCs w:val="22"/>
      <w:lang w:val="de-AT" w:eastAsia="de-AT"/>
    </w:rPr>
  </w:style>
  <w:style w:type="paragraph" w:customStyle="1" w:styleId="Xl409">
    <w:name w:val="Xl409"/>
    <w:basedOn w:val="Normal"/>
    <w:uiPriority w:val="99"/>
    <w:pPr>
      <w:pBdr>
        <w:top w:val="single" w:sz="4" w:space="0" w:color="000000"/>
        <w:left w:val="single" w:sz="4" w:space="0" w:color="000000"/>
        <w:bottom w:val="single" w:sz="4" w:space="0" w:color="000000"/>
        <w:right w:val="single" w:sz="4" w:space="0" w:color="000000"/>
      </w:pBdr>
      <w:spacing w:before="100" w:after="100" w:line="240" w:lineRule="auto"/>
      <w:jc w:val="center"/>
    </w:pPr>
    <w:rPr>
      <w:rFonts w:eastAsia="Times New Roman" w:cs="Times New Roman"/>
      <w:szCs w:val="22"/>
      <w:lang w:val="de-AT" w:eastAsia="de-AT"/>
    </w:rPr>
  </w:style>
  <w:style w:type="paragraph" w:customStyle="1" w:styleId="Xl410">
    <w:name w:val="Xl410"/>
    <w:basedOn w:val="Normal"/>
    <w:uiPriority w:val="99"/>
    <w:pPr>
      <w:pBdr>
        <w:top w:val="single" w:sz="8" w:space="0" w:color="000000"/>
        <w:left w:val="single" w:sz="8" w:space="0" w:color="000000"/>
        <w:bottom w:val="single" w:sz="8" w:space="0" w:color="000000"/>
        <w:right w:val="single" w:sz="8" w:space="0" w:color="000000"/>
      </w:pBdr>
      <w:shd w:val="clear" w:color="auto" w:fill="C6E0B4"/>
      <w:spacing w:before="100" w:after="100" w:line="240" w:lineRule="auto"/>
      <w:jc w:val="center"/>
    </w:pPr>
    <w:rPr>
      <w:rFonts w:eastAsia="Times New Roman" w:cs="Times New Roman"/>
      <w:b/>
      <w:bCs/>
      <w:szCs w:val="22"/>
      <w:lang w:val="de-AT" w:eastAsia="de-AT"/>
    </w:rPr>
  </w:style>
  <w:style w:type="paragraph" w:customStyle="1" w:styleId="Xl411">
    <w:name w:val="Xl411"/>
    <w:basedOn w:val="Normal"/>
    <w:uiPriority w:val="99"/>
    <w:pPr>
      <w:pBdr>
        <w:top w:val="single" w:sz="8" w:space="0" w:color="000000"/>
        <w:left w:val="single" w:sz="8" w:space="0" w:color="000000"/>
        <w:bottom w:val="single" w:sz="8" w:space="0" w:color="000000"/>
        <w:right w:val="single" w:sz="8" w:space="0" w:color="000000"/>
      </w:pBdr>
      <w:shd w:val="clear" w:color="auto" w:fill="C6E0B4"/>
      <w:spacing w:before="100" w:after="100" w:line="240" w:lineRule="auto"/>
      <w:jc w:val="center"/>
    </w:pPr>
    <w:rPr>
      <w:rFonts w:eastAsia="Times New Roman" w:cs="Times New Roman"/>
      <w:b/>
      <w:bCs/>
      <w:szCs w:val="22"/>
      <w:lang w:val="de-AT" w:eastAsia="de-AT"/>
    </w:rPr>
  </w:style>
  <w:style w:type="paragraph" w:customStyle="1" w:styleId="Xl412">
    <w:name w:val="Xl412"/>
    <w:basedOn w:val="Normal"/>
    <w:uiPriority w:val="99"/>
    <w:pPr>
      <w:pBdr>
        <w:top w:val="single" w:sz="8" w:space="0" w:color="000000"/>
        <w:left w:val="single" w:sz="8" w:space="0" w:color="000000"/>
        <w:bottom w:val="single" w:sz="8" w:space="0" w:color="000000"/>
        <w:right w:val="single" w:sz="8" w:space="0" w:color="000000"/>
      </w:pBdr>
      <w:shd w:val="clear" w:color="auto" w:fill="C6E0B4"/>
      <w:spacing w:before="100" w:after="100" w:line="240" w:lineRule="auto"/>
      <w:jc w:val="center"/>
    </w:pPr>
    <w:rPr>
      <w:rFonts w:eastAsia="Times New Roman" w:cs="Times New Roman"/>
      <w:b/>
      <w:bCs/>
      <w:szCs w:val="22"/>
      <w:lang w:val="de-AT" w:eastAsia="de-AT"/>
    </w:rPr>
  </w:style>
  <w:style w:type="paragraph" w:customStyle="1" w:styleId="Xl413">
    <w:name w:val="Xl413"/>
    <w:basedOn w:val="Normal"/>
    <w:uiPriority w:val="99"/>
    <w:pPr>
      <w:shd w:val="clear" w:color="auto" w:fill="C6E0B4"/>
      <w:spacing w:before="100" w:after="100" w:line="240" w:lineRule="auto"/>
      <w:jc w:val="center"/>
    </w:pPr>
    <w:rPr>
      <w:rFonts w:eastAsia="Times New Roman" w:cs="Times New Roman"/>
      <w:szCs w:val="22"/>
      <w:lang w:val="de-AT" w:eastAsia="de-AT"/>
    </w:rPr>
  </w:style>
  <w:style w:type="paragraph" w:customStyle="1" w:styleId="Xl414">
    <w:name w:val="Xl414"/>
    <w:basedOn w:val="Normal"/>
    <w:uiPriority w:val="99"/>
    <w:pPr>
      <w:shd w:val="clear" w:color="auto" w:fill="C6E0B4"/>
      <w:spacing w:before="100" w:after="100" w:line="240" w:lineRule="auto"/>
      <w:jc w:val="center"/>
    </w:pPr>
    <w:rPr>
      <w:rFonts w:eastAsia="Times New Roman" w:cs="Times New Roman"/>
      <w:szCs w:val="22"/>
      <w:lang w:val="de-AT" w:eastAsia="de-AT"/>
    </w:rPr>
  </w:style>
  <w:style w:type="paragraph" w:customStyle="1" w:styleId="Xl415">
    <w:name w:val="Xl415"/>
    <w:basedOn w:val="Normal"/>
    <w:uiPriority w:val="99"/>
    <w:pPr>
      <w:shd w:val="clear" w:color="auto" w:fill="C6E0B4"/>
      <w:spacing w:before="100" w:after="100" w:line="240" w:lineRule="auto"/>
      <w:jc w:val="center"/>
    </w:pPr>
    <w:rPr>
      <w:rFonts w:eastAsia="Times New Roman" w:cs="Times New Roman"/>
      <w:szCs w:val="22"/>
      <w:lang w:val="de-AT" w:eastAsia="de-AT"/>
    </w:rPr>
  </w:style>
  <w:style w:type="paragraph" w:customStyle="1" w:styleId="Xl416">
    <w:name w:val="Xl416"/>
    <w:basedOn w:val="Normal"/>
    <w:uiPriority w:val="99"/>
    <w:pPr>
      <w:shd w:val="clear" w:color="auto" w:fill="C6E0B4"/>
      <w:spacing w:before="100" w:after="100" w:line="240" w:lineRule="auto"/>
      <w:jc w:val="center"/>
    </w:pPr>
    <w:rPr>
      <w:rFonts w:eastAsia="Times New Roman" w:cs="Times New Roman"/>
      <w:szCs w:val="22"/>
      <w:lang w:val="de-AT" w:eastAsia="de-AT"/>
    </w:rPr>
  </w:style>
  <w:style w:type="paragraph" w:customStyle="1" w:styleId="Xl417">
    <w:name w:val="Xl417"/>
    <w:basedOn w:val="Normal"/>
    <w:uiPriority w:val="99"/>
    <w:pPr>
      <w:pBdr>
        <w:top w:val="single" w:sz="8" w:space="0" w:color="000000"/>
        <w:left w:val="single" w:sz="8" w:space="0" w:color="000000"/>
        <w:bottom w:val="single" w:sz="8" w:space="0" w:color="000000"/>
        <w:right w:val="single" w:sz="8" w:space="0" w:color="000000"/>
      </w:pBdr>
      <w:shd w:val="clear" w:color="auto" w:fill="C6E0B4"/>
      <w:spacing w:before="100" w:after="100" w:line="240" w:lineRule="auto"/>
      <w:jc w:val="center"/>
    </w:pPr>
    <w:rPr>
      <w:rFonts w:eastAsia="Times New Roman" w:cs="Times New Roman"/>
      <w:b/>
      <w:bCs/>
      <w:szCs w:val="22"/>
      <w:lang w:val="de-AT" w:eastAsia="de-AT"/>
    </w:rPr>
  </w:style>
  <w:style w:type="paragraph" w:customStyle="1" w:styleId="Xl418">
    <w:name w:val="Xl418"/>
    <w:basedOn w:val="Normal"/>
    <w:uiPriority w:val="99"/>
    <w:pPr>
      <w:pBdr>
        <w:top w:val="single" w:sz="8" w:space="0" w:color="000000"/>
        <w:left w:val="single" w:sz="8" w:space="0" w:color="000000"/>
        <w:bottom w:val="single" w:sz="8" w:space="0" w:color="000000"/>
        <w:right w:val="single" w:sz="8" w:space="0" w:color="000000"/>
      </w:pBdr>
      <w:shd w:val="clear" w:color="auto" w:fill="C6E0B4"/>
      <w:spacing w:before="100" w:after="100" w:line="240" w:lineRule="auto"/>
      <w:jc w:val="center"/>
    </w:pPr>
    <w:rPr>
      <w:rFonts w:eastAsia="Times New Roman" w:cs="Times New Roman"/>
      <w:b/>
      <w:bCs/>
      <w:szCs w:val="22"/>
      <w:lang w:val="de-AT" w:eastAsia="de-AT"/>
    </w:r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character" w:customStyle="1" w:styleId="NoSpacingChar1">
    <w:name w:val="No Spacing Char1"/>
    <w:link w:val="NoSpacing"/>
    <w:uiPriority w:val="1"/>
    <w:rPr>
      <w:sz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7A1A49"/>
    <w:rPr>
      <w:rFonts w:eastAsia="Times New Roman" w:cs="Times New Roman"/>
      <w:szCs w:val="22"/>
      <w:lang w:val="en-US" w:eastAsia="en-US" w:bidi="en-US"/>
    </w:rPr>
  </w:style>
  <w:style w:type="paragraph" w:customStyle="1" w:styleId="Vedlegg">
    <w:name w:val="Vedlegg"/>
    <w:basedOn w:val="Normal"/>
    <w:link w:val="VedleggChar"/>
    <w:rsid w:val="007A1A49"/>
    <w:pPr>
      <w:numPr>
        <w:numId w:val="3"/>
      </w:numPr>
    </w:pPr>
    <w:rPr>
      <w:rFonts w:eastAsia="Times New Roman" w:cs="Times New Roman"/>
      <w:b/>
      <w:smallCaps/>
      <w:sz w:val="28"/>
      <w:szCs w:val="22"/>
      <w:lang w:val="en-US" w:eastAsia="en-US" w:bidi="en-US"/>
    </w:rPr>
  </w:style>
  <w:style w:type="character" w:customStyle="1" w:styleId="VedleggChar">
    <w:name w:val="Vedlegg Char"/>
    <w:link w:val="Vedlegg"/>
    <w:rsid w:val="007A1A49"/>
    <w:rPr>
      <w:rFonts w:eastAsia="Times New Roman" w:cs="Times New Roman"/>
      <w:b/>
      <w:smallCaps/>
      <w:sz w:val="28"/>
      <w:szCs w:val="22"/>
      <w:lang w:val="en-US" w:eastAsia="en-US" w:bidi="en-US"/>
    </w:rPr>
  </w:style>
  <w:style w:type="paragraph" w:customStyle="1" w:styleId="TRnormal">
    <w:name w:val="TR normal"/>
    <w:basedOn w:val="Normal"/>
    <w:rsid w:val="007A1A49"/>
    <w:pPr>
      <w:suppressLineNumbers/>
      <w:spacing w:before="240"/>
    </w:pPr>
    <w:rPr>
      <w:rFonts w:eastAsia="Times New Roman" w:cs="Times New Roman"/>
      <w:sz w:val="20"/>
      <w:szCs w:val="22"/>
      <w:lang w:val="en-US" w:eastAsia="en-US" w:bidi="en-US"/>
    </w:rPr>
  </w:style>
  <w:style w:type="paragraph" w:customStyle="1" w:styleId="Kommentaremne">
    <w:name w:val="Kommentaremne"/>
    <w:basedOn w:val="CommentText"/>
    <w:next w:val="CommentText"/>
    <w:rsid w:val="007A1A49"/>
    <w:pPr>
      <w:spacing w:line="288" w:lineRule="auto"/>
    </w:pPr>
    <w:rPr>
      <w:rFonts w:eastAsia="Times New Roman" w:cs="Times New Roman"/>
      <w:b/>
      <w:bCs/>
      <w:szCs w:val="22"/>
      <w:lang w:val="da-DK" w:eastAsia="da-DK" w:bidi="en-US"/>
    </w:rPr>
  </w:style>
  <w:style w:type="paragraph" w:styleId="BodyText">
    <w:name w:val="Body Text"/>
    <w:basedOn w:val="Normal"/>
    <w:link w:val="BodyTextChar"/>
    <w:rsid w:val="007A1A49"/>
    <w:rPr>
      <w:rFonts w:eastAsia="Times New Roman" w:cs="Times New Roman"/>
      <w:i/>
      <w:snapToGrid w:val="0"/>
      <w:szCs w:val="22"/>
      <w:lang w:val="en-US" w:eastAsia="en-US" w:bidi="en-US"/>
    </w:rPr>
  </w:style>
  <w:style w:type="character" w:customStyle="1" w:styleId="BodyTextChar">
    <w:name w:val="Body Text Char"/>
    <w:basedOn w:val="DefaultParagraphFont"/>
    <w:link w:val="BodyText"/>
    <w:rsid w:val="007A1A49"/>
    <w:rPr>
      <w:rFonts w:eastAsia="Times New Roman" w:cs="Times New Roman"/>
      <w:i/>
      <w:snapToGrid w:val="0"/>
      <w:sz w:val="22"/>
      <w:szCs w:val="22"/>
      <w:lang w:val="en-US" w:eastAsia="en-US" w:bidi="en-US"/>
    </w:rPr>
  </w:style>
  <w:style w:type="character" w:styleId="PageNumber">
    <w:name w:val="page number"/>
    <w:basedOn w:val="DefaultParagraphFont"/>
    <w:rsid w:val="007A1A49"/>
  </w:style>
  <w:style w:type="paragraph" w:styleId="TOC6">
    <w:name w:val="toc 6"/>
    <w:basedOn w:val="Normal"/>
    <w:next w:val="Normal"/>
    <w:autoRedefine/>
    <w:uiPriority w:val="39"/>
    <w:unhideWhenUsed/>
    <w:rsid w:val="007A1A49"/>
    <w:pPr>
      <w:spacing w:after="100"/>
      <w:ind w:left="1100"/>
    </w:pPr>
    <w:rPr>
      <w:rFonts w:eastAsia="Times New Roman" w:cs="Times New Roman"/>
      <w:szCs w:val="22"/>
      <w:lang w:bidi="en-US"/>
    </w:rPr>
  </w:style>
  <w:style w:type="paragraph" w:styleId="TOC7">
    <w:name w:val="toc 7"/>
    <w:basedOn w:val="Normal"/>
    <w:next w:val="Normal"/>
    <w:autoRedefine/>
    <w:uiPriority w:val="39"/>
    <w:unhideWhenUsed/>
    <w:rsid w:val="007A1A49"/>
    <w:pPr>
      <w:spacing w:after="100"/>
      <w:ind w:left="1320"/>
    </w:pPr>
    <w:rPr>
      <w:rFonts w:eastAsia="Times New Roman" w:cs="Times New Roman"/>
      <w:szCs w:val="22"/>
      <w:lang w:bidi="en-US"/>
    </w:rPr>
  </w:style>
  <w:style w:type="paragraph" w:styleId="TOC8">
    <w:name w:val="toc 8"/>
    <w:basedOn w:val="Normal"/>
    <w:next w:val="Normal"/>
    <w:autoRedefine/>
    <w:uiPriority w:val="39"/>
    <w:unhideWhenUsed/>
    <w:rsid w:val="007A1A49"/>
    <w:pPr>
      <w:spacing w:after="100"/>
      <w:ind w:left="1540"/>
    </w:pPr>
    <w:rPr>
      <w:rFonts w:eastAsia="Times New Roman" w:cs="Times New Roman"/>
      <w:szCs w:val="22"/>
      <w:lang w:bidi="en-US"/>
    </w:rPr>
  </w:style>
  <w:style w:type="paragraph" w:styleId="TOC9">
    <w:name w:val="toc 9"/>
    <w:basedOn w:val="Normal"/>
    <w:next w:val="Normal"/>
    <w:autoRedefine/>
    <w:uiPriority w:val="39"/>
    <w:unhideWhenUsed/>
    <w:rsid w:val="007A1A49"/>
    <w:pPr>
      <w:spacing w:after="100"/>
      <w:ind w:left="1760"/>
    </w:pPr>
    <w:rPr>
      <w:rFonts w:eastAsia="Times New Roman" w:cs="Times New Roman"/>
      <w:szCs w:val="22"/>
      <w:lang w:bidi="en-US"/>
    </w:rPr>
  </w:style>
  <w:style w:type="paragraph" w:styleId="Caption">
    <w:name w:val="caption"/>
    <w:basedOn w:val="Normal"/>
    <w:next w:val="Normal"/>
    <w:uiPriority w:val="35"/>
    <w:unhideWhenUsed/>
    <w:qFormat/>
    <w:rsid w:val="007A1A49"/>
    <w:pPr>
      <w:spacing w:line="240" w:lineRule="auto"/>
    </w:pPr>
    <w:rPr>
      <w:rFonts w:eastAsia="Times New Roman" w:cs="Times New Roman"/>
      <w:b/>
      <w:bCs/>
      <w:color w:val="4F81BD"/>
      <w:sz w:val="18"/>
      <w:szCs w:val="18"/>
      <w:lang w:val="en-US" w:eastAsia="en-US" w:bidi="en-US"/>
    </w:rPr>
  </w:style>
  <w:style w:type="paragraph" w:customStyle="1" w:styleId="Listecouleur-Accent11">
    <w:name w:val="Liste couleur - Accent 11"/>
    <w:basedOn w:val="Normal"/>
    <w:link w:val="Listecouleur-Accent1Car"/>
    <w:uiPriority w:val="34"/>
    <w:qFormat/>
    <w:rsid w:val="00E5763A"/>
    <w:pPr>
      <w:numPr>
        <w:numId w:val="4"/>
      </w:numPr>
      <w:spacing w:before="120" w:after="0" w:line="250" w:lineRule="exact"/>
      <w:contextualSpacing/>
      <w:jc w:val="both"/>
    </w:pPr>
    <w:rPr>
      <w:rFonts w:ascii="Avenir LT Std 55 Roman" w:eastAsia="Times New Roman" w:hAnsi="Avenir LT Std 55 Roman" w:cs="Times New Roman"/>
      <w:sz w:val="20"/>
      <w:szCs w:val="21"/>
      <w:lang w:val="fr-FR" w:eastAsia="fr-FR"/>
    </w:rPr>
  </w:style>
  <w:style w:type="character" w:customStyle="1" w:styleId="Listecouleur-Accent1Car">
    <w:name w:val="Liste couleur - Accent 1 Car"/>
    <w:link w:val="Listecouleur-Accent11"/>
    <w:uiPriority w:val="34"/>
    <w:rsid w:val="00E5763A"/>
    <w:rPr>
      <w:rFonts w:ascii="Avenir LT Std 55 Roman" w:eastAsia="Times New Roman" w:hAnsi="Avenir LT Std 55 Roman" w:cs="Times New Roman"/>
      <w:szCs w:val="21"/>
      <w:lang w:val="fr-FR" w:eastAsia="fr-FR"/>
    </w:rPr>
  </w:style>
  <w:style w:type="paragraph" w:customStyle="1" w:styleId="H2a">
    <w:name w:val="H2a"/>
    <w:basedOn w:val="Heading2"/>
    <w:link w:val="H2aChar"/>
    <w:autoRedefine/>
    <w:uiPriority w:val="99"/>
    <w:qFormat/>
    <w:rsid w:val="000E7D83"/>
    <w:pPr>
      <w:numPr>
        <w:ilvl w:val="2"/>
        <w:numId w:val="5"/>
      </w:numPr>
    </w:pPr>
    <w:rPr>
      <w:b/>
      <w:sz w:val="24"/>
      <w:szCs w:val="24"/>
    </w:rPr>
  </w:style>
  <w:style w:type="paragraph" w:customStyle="1" w:styleId="H3a">
    <w:name w:val="H3a"/>
    <w:basedOn w:val="Heading4"/>
    <w:link w:val="H3aChar"/>
    <w:uiPriority w:val="99"/>
    <w:qFormat/>
    <w:rsid w:val="0025741D"/>
    <w:pPr>
      <w:spacing w:before="0" w:after="200"/>
    </w:pPr>
  </w:style>
  <w:style w:type="character" w:customStyle="1" w:styleId="Heading2Char1">
    <w:name w:val="Heading 2 Char1"/>
    <w:aliases w:val="H2 Char1,H21 Char1,H24 Char1,H25 Char1,H26 Char1,H211 Char1,H241 Char1,H251 Char1"/>
    <w:basedOn w:val="DefaultParagraphFont"/>
    <w:link w:val="Heading2"/>
    <w:uiPriority w:val="9"/>
    <w:rsid w:val="004E0B5B"/>
    <w:rPr>
      <w:rFonts w:ascii="Cambria" w:hAnsi="Cambria" w:cs="Times New Roman"/>
      <w:color w:val="4F81BD"/>
      <w:sz w:val="26"/>
    </w:rPr>
  </w:style>
  <w:style w:type="character" w:customStyle="1" w:styleId="H2aChar">
    <w:name w:val="H2a Char"/>
    <w:basedOn w:val="Heading2Char1"/>
    <w:link w:val="H2a"/>
    <w:uiPriority w:val="99"/>
    <w:rsid w:val="000E7D83"/>
    <w:rPr>
      <w:rFonts w:ascii="Cambria" w:hAnsi="Cambria" w:cs="Times New Roman"/>
      <w:b/>
      <w:color w:val="4F81BD"/>
      <w:sz w:val="24"/>
      <w:szCs w:val="24"/>
    </w:rPr>
  </w:style>
  <w:style w:type="paragraph" w:customStyle="1" w:styleId="H1a">
    <w:name w:val="H1a"/>
    <w:basedOn w:val="H3a"/>
    <w:link w:val="H1aChar"/>
    <w:uiPriority w:val="99"/>
    <w:qFormat/>
    <w:rsid w:val="000E7D83"/>
  </w:style>
  <w:style w:type="character" w:customStyle="1" w:styleId="Heading4Char1">
    <w:name w:val="Heading 4 Char1"/>
    <w:aliases w:val="H4 Char1"/>
    <w:basedOn w:val="DefaultParagraphFont"/>
    <w:link w:val="Heading4"/>
    <w:uiPriority w:val="9"/>
    <w:rsid w:val="0025741D"/>
    <w:rPr>
      <w:rFonts w:ascii="Cambria" w:eastAsia="Times New Roman" w:hAnsi="Cambria" w:cs="Times New Roman"/>
      <w:b/>
      <w:i/>
      <w:color w:val="4F81BD"/>
      <w:sz w:val="22"/>
      <w:lang w:val="en-GB"/>
    </w:rPr>
  </w:style>
  <w:style w:type="character" w:customStyle="1" w:styleId="H3aChar">
    <w:name w:val="H3a Char"/>
    <w:basedOn w:val="Heading4Char1"/>
    <w:link w:val="H3a"/>
    <w:uiPriority w:val="99"/>
    <w:rsid w:val="0025741D"/>
    <w:rPr>
      <w:rFonts w:ascii="Cambria" w:eastAsia="Times New Roman" w:hAnsi="Cambria" w:cs="Times New Roman"/>
      <w:b/>
      <w:i/>
      <w:color w:val="4F81BD"/>
      <w:sz w:val="22"/>
      <w:lang w:val="en-GB"/>
    </w:rPr>
  </w:style>
  <w:style w:type="paragraph" w:customStyle="1" w:styleId="LegalNumPar">
    <w:name w:val="LegalNumPar"/>
    <w:basedOn w:val="Normal"/>
    <w:rsid w:val="00384D20"/>
    <w:pPr>
      <w:numPr>
        <w:numId w:val="6"/>
      </w:numPr>
      <w:spacing w:line="360" w:lineRule="auto"/>
    </w:pPr>
    <w:rPr>
      <w:sz w:val="24"/>
    </w:rPr>
  </w:style>
  <w:style w:type="character" w:customStyle="1" w:styleId="H1aChar">
    <w:name w:val="H1a Char"/>
    <w:basedOn w:val="H3aChar"/>
    <w:link w:val="H1a"/>
    <w:uiPriority w:val="99"/>
    <w:rsid w:val="000E7D83"/>
    <w:rPr>
      <w:rFonts w:ascii="Cambria" w:eastAsia="Times New Roman" w:hAnsi="Cambria" w:cs="Times New Roman"/>
      <w:b/>
      <w:i/>
      <w:color w:val="4F81BD"/>
      <w:sz w:val="22"/>
      <w:lang w:val="en-GB"/>
    </w:rPr>
  </w:style>
  <w:style w:type="paragraph" w:customStyle="1" w:styleId="LegalNumPar2">
    <w:name w:val="LegalNumPar2"/>
    <w:basedOn w:val="Normal"/>
    <w:rsid w:val="00384D20"/>
    <w:pPr>
      <w:numPr>
        <w:ilvl w:val="1"/>
        <w:numId w:val="6"/>
      </w:numPr>
      <w:spacing w:line="360" w:lineRule="auto"/>
    </w:pPr>
    <w:rPr>
      <w:sz w:val="24"/>
    </w:rPr>
  </w:style>
  <w:style w:type="paragraph" w:customStyle="1" w:styleId="LegalNumPar3">
    <w:name w:val="LegalNumPar3"/>
    <w:basedOn w:val="Normal"/>
    <w:rsid w:val="00384D20"/>
    <w:pPr>
      <w:numPr>
        <w:ilvl w:val="2"/>
        <w:numId w:val="6"/>
      </w:numPr>
      <w:spacing w:line="360" w:lineRule="auto"/>
    </w:pPr>
    <w:rPr>
      <w:sz w:val="24"/>
    </w:rPr>
  </w:style>
  <w:style w:type="numbering" w:customStyle="1" w:styleId="Style1">
    <w:name w:val="Style1"/>
    <w:uiPriority w:val="99"/>
    <w:rsid w:val="005D5838"/>
    <w:pPr>
      <w:numPr>
        <w:numId w:val="10"/>
      </w:numPr>
    </w:pPr>
  </w:style>
  <w:style w:type="character" w:customStyle="1" w:styleId="UnresolvedMention2">
    <w:name w:val="Unresolved Mention2"/>
    <w:basedOn w:val="DefaultParagraphFont"/>
    <w:uiPriority w:val="99"/>
    <w:semiHidden/>
    <w:unhideWhenUsed/>
    <w:rsid w:val="00FF466A"/>
    <w:rPr>
      <w:color w:val="605E5C"/>
      <w:shd w:val="clear" w:color="auto" w:fill="E1DFDD"/>
    </w:rPr>
  </w:style>
  <w:style w:type="table" w:customStyle="1" w:styleId="ListTable31">
    <w:name w:val="List Table 31"/>
    <w:basedOn w:val="TableNormal"/>
    <w:uiPriority w:val="48"/>
    <w:rsid w:val="00FA26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WWNum15">
    <w:name w:val="WWNum15"/>
    <w:basedOn w:val="NoList"/>
    <w:rsid w:val="001644C5"/>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872044">
      <w:bodyDiv w:val="1"/>
      <w:marLeft w:val="0"/>
      <w:marRight w:val="0"/>
      <w:marTop w:val="0"/>
      <w:marBottom w:val="0"/>
      <w:divBdr>
        <w:top w:val="none" w:sz="0" w:space="0" w:color="auto"/>
        <w:left w:val="none" w:sz="0" w:space="0" w:color="auto"/>
        <w:bottom w:val="none" w:sz="0" w:space="0" w:color="auto"/>
        <w:right w:val="none" w:sz="0" w:space="0" w:color="auto"/>
      </w:divBdr>
    </w:div>
    <w:div w:id="2123956701">
      <w:bodyDiv w:val="1"/>
      <w:marLeft w:val="0"/>
      <w:marRight w:val="0"/>
      <w:marTop w:val="0"/>
      <w:marBottom w:val="0"/>
      <w:divBdr>
        <w:top w:val="none" w:sz="0" w:space="0" w:color="auto"/>
        <w:left w:val="none" w:sz="0" w:space="0" w:color="auto"/>
        <w:bottom w:val="none" w:sz="0" w:space="0" w:color="auto"/>
        <w:right w:val="none" w:sz="0" w:space="0" w:color="auto"/>
      </w:divBdr>
      <w:divsChild>
        <w:div w:id="2321396">
          <w:marLeft w:val="720"/>
          <w:marRight w:val="0"/>
          <w:marTop w:val="0"/>
          <w:marBottom w:val="0"/>
          <w:divBdr>
            <w:top w:val="none" w:sz="0" w:space="0" w:color="auto"/>
            <w:left w:val="none" w:sz="0" w:space="0" w:color="auto"/>
            <w:bottom w:val="none" w:sz="0" w:space="0" w:color="auto"/>
            <w:right w:val="none" w:sz="0" w:space="0" w:color="auto"/>
          </w:divBdr>
        </w:div>
        <w:div w:id="575361387">
          <w:marLeft w:val="720"/>
          <w:marRight w:val="0"/>
          <w:marTop w:val="0"/>
          <w:marBottom w:val="0"/>
          <w:divBdr>
            <w:top w:val="none" w:sz="0" w:space="0" w:color="auto"/>
            <w:left w:val="none" w:sz="0" w:space="0" w:color="auto"/>
            <w:bottom w:val="none" w:sz="0" w:space="0" w:color="auto"/>
            <w:right w:val="none" w:sz="0" w:space="0" w:color="auto"/>
          </w:divBdr>
        </w:div>
        <w:div w:id="1219895835">
          <w:marLeft w:val="720"/>
          <w:marRight w:val="0"/>
          <w:marTop w:val="0"/>
          <w:marBottom w:val="0"/>
          <w:divBdr>
            <w:top w:val="none" w:sz="0" w:space="0" w:color="auto"/>
            <w:left w:val="none" w:sz="0" w:space="0" w:color="auto"/>
            <w:bottom w:val="none" w:sz="0" w:space="0" w:color="auto"/>
            <w:right w:val="none" w:sz="0" w:space="0" w:color="auto"/>
          </w:divBdr>
        </w:div>
        <w:div w:id="1602908743">
          <w:marLeft w:val="720"/>
          <w:marRight w:val="0"/>
          <w:marTop w:val="0"/>
          <w:marBottom w:val="0"/>
          <w:divBdr>
            <w:top w:val="none" w:sz="0" w:space="0" w:color="auto"/>
            <w:left w:val="none" w:sz="0" w:space="0" w:color="auto"/>
            <w:bottom w:val="none" w:sz="0" w:space="0" w:color="auto"/>
            <w:right w:val="none" w:sz="0" w:space="0" w:color="auto"/>
          </w:divBdr>
        </w:div>
        <w:div w:id="166771123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commentsExtended" Target="commentsExtended.xml"/><Relationship Id="rId26" Type="http://schemas.openxmlformats.org/officeDocument/2006/relationships/image" Target="file:///C:\Users\j19478\Desktop\Consent%20Revocation\Image4.wmf" TargetMode="Externa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omments" Target="comments.xml"/><Relationship Id="rId25"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file:///C:\Users\j19478\Desktop\Consent%20Revocation\Image2.wm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file:///C:\Users\j19478\Desktop\Share%20my%20data\Image11.wmf" TargetMode="External"/><Relationship Id="rId27" Type="http://schemas.openxmlformats.org/officeDocument/2006/relationships/image" Target="media/image11.png"/><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asset-ec.eu" TargetMode="External"/><Relationship Id="rId3" Type="http://schemas.openxmlformats.org/officeDocument/2006/relationships/hyperlink" Target="https://www.entsoe.eu/digital/cim/role-models/" TargetMode="External"/><Relationship Id="rId7" Type="http://schemas.openxmlformats.org/officeDocument/2006/relationships/hyperlink" Target="https://mydata.org/declaration/" TargetMode="External"/><Relationship Id="rId2" Type="http://schemas.openxmlformats.org/officeDocument/2006/relationships/hyperlink" Target="https://ec.europa.eu/energy/sites/ener/files/documents/xpert_group1_reference_architecture.pdf" TargetMode="External"/><Relationship Id="rId1" Type="http://schemas.openxmlformats.org/officeDocument/2006/relationships/hyperlink" Target="https://ec.europa.eu/energy/en/news/commission-proposes-new-rules-consumer-centred-clean-energy-transition" TargetMode="External"/><Relationship Id="rId6" Type="http://schemas.openxmlformats.org/officeDocument/2006/relationships/hyperlink" Target="https://asset.te-ded.com/home/advanced-system-studies/cluster-7/format-and-procedures-for-electricity-and-gas-data-access-and-exchange-in-member-states/" TargetMode="External"/><Relationship Id="rId5" Type="http://schemas.openxmlformats.org/officeDocument/2006/relationships/hyperlink" Target="https://www.iec.ch/dyn/www/f?p=103:14:0::::FSP_ORG_ID:2388" TargetMode="External"/><Relationship Id="rId4" Type="http://schemas.openxmlformats.org/officeDocument/2006/relationships/hyperlink" Target="https://www.entsoe.eu/digital/c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19E125A58213459BA73189746E9F2A" ma:contentTypeVersion="0" ma:contentTypeDescription="Create a new document." ma:contentTypeScope="" ma:versionID="60051cc42d1ab495a1ac963033bcb3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AAEF7-B04B-48A5-97FA-89814FDC1028}">
  <ds:schemaRefs>
    <ds:schemaRef ds:uri="http://schemas.microsoft.com/sharepoint/v3/contenttype/forms"/>
  </ds:schemaRefs>
</ds:datastoreItem>
</file>

<file path=customXml/itemProps2.xml><?xml version="1.0" encoding="utf-8"?>
<ds:datastoreItem xmlns:ds="http://schemas.openxmlformats.org/officeDocument/2006/customXml" ds:itemID="{7AF9F3CF-502C-47B8-956E-8F58B8E131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977967-6794-4119-8371-48BE59E73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723E89-C5C9-41D0-88EE-D31650BF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9046</Words>
  <Characters>51568</Characters>
  <Application>Microsoft Office Word</Application>
  <DocSecurity>0</DocSecurity>
  <Lines>429</Lines>
  <Paragraphs>120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1st interim report_EG1 Data format &amp; procedures</vt:lpstr>
      <vt:lpstr>1st interim report_EG1 Data format &amp; procedures</vt:lpstr>
      <vt:lpstr>1st interim report_EG1 Data format &amp; procedures</vt:lpstr>
    </vt:vector>
  </TitlesOfParts>
  <Company>European Commission</Company>
  <LinksUpToDate>false</LinksUpToDate>
  <CharactersWithSpaces>60494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interim report_EG1 Data format &amp; procedures</dc:title>
  <dc:creator>FILIOU Constantina (ENER)</dc:creator>
  <cp:lastModifiedBy>Yselkla Farmer</cp:lastModifiedBy>
  <cp:revision>2</cp:revision>
  <cp:lastPrinted>2018-06-15T22:44:00Z</cp:lastPrinted>
  <dcterms:created xsi:type="dcterms:W3CDTF">2019-01-03T10:23:00Z</dcterms:created>
  <dcterms:modified xsi:type="dcterms:W3CDTF">2019-01-03T10:23:00Z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0x010100FF19E125A58213459BA73189746E9F2A</vt:lpwstr>
  </property>
  <property fmtid="{D5CDD505-2E9C-101B-9397-08002B2CF9AE}" pid="3" name="_NewReviewCycle">
    <vt:lpwstr/>
  </property>
</Properties>
</file>